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99"/>
        <w:gridCol w:w="4605"/>
      </w:tblGrid>
      <w:tr w:rsidR="005D274C" w:rsidTr="005D274C">
        <w:trPr>
          <w:trHeight w:hRule="exact" w:val="3414"/>
        </w:trPr>
        <w:tc>
          <w:tcPr>
            <w:tcW w:w="4570" w:type="dxa"/>
          </w:tcPr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 СЕЛЬСОВЕТ</w:t>
            </w:r>
          </w:p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spacing w:val="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5D274C" w:rsidRDefault="005D274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11.06.2019 г. № 42-п</w:t>
            </w:r>
          </w:p>
          <w:p w:rsidR="005D274C" w:rsidRDefault="005D274C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</w:tcPr>
          <w:p w:rsidR="005D274C" w:rsidRDefault="005D2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</w:tcPr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74C" w:rsidTr="005D274C">
        <w:trPr>
          <w:trHeight w:val="695"/>
        </w:trPr>
        <w:tc>
          <w:tcPr>
            <w:tcW w:w="4570" w:type="dxa"/>
          </w:tcPr>
          <w:p w:rsidR="005D274C" w:rsidRDefault="005D274C">
            <w:pPr>
              <w:tabs>
                <w:tab w:val="left" w:pos="90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179B29" wp14:editId="48A85F6B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111760</wp:posOffset>
                      </wp:positionV>
                      <wp:extent cx="3019425" cy="229235"/>
                      <wp:effectExtent l="6350" t="6985" r="12700" b="1143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942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10pt;margin-top:8.8pt;width:237.7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D274C" w:rsidRDefault="005D274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межведомственной комиссии для оценки и обследования помещения</w:t>
            </w:r>
          </w:p>
          <w:p w:rsidR="005D274C" w:rsidRDefault="005D274C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 </w:t>
            </w:r>
          </w:p>
          <w:p w:rsidR="005D274C" w:rsidRDefault="005D274C">
            <w:pPr>
              <w:tabs>
                <w:tab w:val="left" w:pos="90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5D274C" w:rsidRDefault="005D27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4" w:type="dxa"/>
          </w:tcPr>
          <w:p w:rsidR="005D274C" w:rsidRDefault="005D27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4C" w:rsidRDefault="005D27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274C" w:rsidRDefault="005D274C" w:rsidP="005D274C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4 ст. 15 Жилищного кодекса Российской Федерации, п. 6 ч.1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proofErr w:type="gramEnd"/>
    </w:p>
    <w:p w:rsidR="005D274C" w:rsidRDefault="005D274C" w:rsidP="005D2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 (Приложение № 1).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 (Приложение № 2).</w:t>
      </w:r>
    </w:p>
    <w:p w:rsidR="005D274C" w:rsidRDefault="005D274C" w:rsidP="005D274C">
      <w:pPr>
        <w:widowControl/>
        <w:autoSpaceDE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5D274C" w:rsidRDefault="005D274C" w:rsidP="005D2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подписания и подлежит размещению в сети Интернет на официальном сайте муниципального образования Никольский  сельсовет Оренбургского района Оренбургской области: никольский-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274C" w:rsidRDefault="005D274C" w:rsidP="005D274C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suppressAutoHyphens/>
        <w:autoSpaceDN/>
        <w:adjustRightInd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D274C" w:rsidRDefault="005D274C" w:rsidP="005D274C">
      <w:pPr>
        <w:suppressAutoHyphens/>
        <w:autoSpaceDN/>
        <w:adjustRightInd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О.И.Кузьмина</w:t>
      </w: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274C" w:rsidRDefault="005D274C" w:rsidP="005D274C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274C" w:rsidRDefault="005D274C" w:rsidP="005D274C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274C" w:rsidRDefault="005D274C" w:rsidP="005D274C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 сельсовет</w:t>
      </w:r>
    </w:p>
    <w:p w:rsidR="005D274C" w:rsidRDefault="005D274C" w:rsidP="005D274C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5D274C" w:rsidRDefault="005D274C" w:rsidP="005D274C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D274C" w:rsidRDefault="005D274C" w:rsidP="005D274C">
      <w:pPr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11.06.2019 № 42-п</w:t>
      </w:r>
    </w:p>
    <w:p w:rsidR="005D274C" w:rsidRDefault="005D274C" w:rsidP="005D274C">
      <w:pPr>
        <w:suppressAutoHyphens/>
        <w:autoSpaceDN/>
        <w:adjustRightInd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5D274C" w:rsidRDefault="005D274C" w:rsidP="005D274C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а также многоквартирного дома в целях признания его аварийным и подлежащим сносу или реконструкции</w:t>
      </w:r>
    </w:p>
    <w:p w:rsidR="005D274C" w:rsidRDefault="005D274C" w:rsidP="005D274C">
      <w:pPr>
        <w:suppressAutoHyphens/>
        <w:autoSpaceDN/>
        <w:adjustRightInd/>
        <w:ind w:firstLine="72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274C" w:rsidRDefault="005D274C" w:rsidP="005D274C">
      <w:pPr>
        <w:suppressAutoHyphens/>
        <w:autoSpaceDN/>
        <w:adjustRightInd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I. Общие положения</w:t>
      </w:r>
    </w:p>
    <w:p w:rsidR="005D274C" w:rsidRDefault="005D274C" w:rsidP="005D274C">
      <w:pPr>
        <w:suppressAutoHyphens/>
        <w:autoSpaceDN/>
        <w:adjustRightInd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Никольский сельсовет Оренбургского района Оренбургской области (далее – муниципального образования).</w:t>
      </w:r>
      <w:proofErr w:type="gramEnd"/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Жилым помещением признается: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удовлетворения гражданами бытовых и иных нужд, связанных с их проживанием в таком обособленном помещении;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помещении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Межведомственная комиссия в своей деятельности руководствуется Жилищным </w:t>
      </w:r>
      <w:hyperlink r:id="rId7" w:history="1">
        <w:r>
          <w:rPr>
            <w:rStyle w:val="a3"/>
            <w:rFonts w:ascii="Times New Roman" w:eastAsia="Arial" w:hAnsi="Times New Roman" w:cs="Times New Roman"/>
            <w:color w:val="000000"/>
            <w:sz w:val="28"/>
            <w:szCs w:val="28"/>
            <w:lang w:eastAsia="ar-SA"/>
          </w:rPr>
          <w:t>кодексом</w:t>
        </w:r>
      </w:hyperlink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Российской Федерации, постановлением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а также настоящим Положением.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</w:t>
      </w:r>
      <w:r>
        <w:rPr>
          <w:rFonts w:ascii="Times New Roman" w:hAnsi="Times New Roman" w:cs="Times New Roman"/>
          <w:sz w:val="28"/>
          <w:szCs w:val="28"/>
        </w:rPr>
        <w:t>, предусмотренные п.45 постановления Правительства РФ от 28.01.2006 № 47.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274C" w:rsidRDefault="005D274C" w:rsidP="005D274C">
      <w:pPr>
        <w:suppressAutoHyphens/>
        <w:autoSpaceDN/>
        <w:adjustRightInd/>
        <w:ind w:firstLine="709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II. Цели, задачи межведомственной комиссии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274C" w:rsidRDefault="005D274C" w:rsidP="005D274C">
      <w:pPr>
        <w:suppressAutoHyphens/>
        <w:autoSpaceDN/>
        <w:adjustRightInd/>
        <w:ind w:firstLine="709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III. Состав межведомственной комиссии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274C" w:rsidRDefault="005D274C" w:rsidP="005D274C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11. Состав Комиссии утверждается постановлением администрации муниципального образования. Комиссия формируется в составе председателя, его заместителя, секретаря и членов Комиссии.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Оренбургском муниципальном районе, а также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заключений экспертизы проектной документации и (или) результатов инженерных изысканий.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 работе в комиссии привлекается с правом совещательного голоса собственник жилого помещения (уполномоченное им лицо)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D274C" w:rsidRDefault="005D274C" w:rsidP="005D274C">
      <w:pPr>
        <w:suppressAutoHyphens/>
        <w:autoSpaceDN/>
        <w:adjustRightInd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274C" w:rsidRDefault="005D274C" w:rsidP="005D274C">
      <w:pPr>
        <w:suppressAutoHyphens/>
        <w:autoSpaceDN/>
        <w:adjustRightInd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IV. Порядок работы межведомственной комиссии</w:t>
      </w:r>
    </w:p>
    <w:p w:rsidR="005D274C" w:rsidRDefault="005D274C" w:rsidP="005D274C">
      <w:pPr>
        <w:suppressAutoHyphens/>
        <w:autoSpaceDN/>
        <w:adjustRightInd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13. Заседания межведомственной комиссии проводятся по мере необходимости.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14. Деятельностью межведомственной комиссии руководит председатель межведомственной комиссии, который: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осуществляет общее руководство работой межведомственной комиссии;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определяет дату и время проведения заседания межведомственной комиссии;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дает поручения членам межведомственной комиссии, связанные с ее деятельностью;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председательствует на заседаниях межведомственной комиссии.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15. Секретарь межведомственной комиссии: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готовит материалы на рассмотрение межведомственной комиссии;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оформляет заключение межведомственной комиссии;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обеспечивает учет и хранение документов, в том числе протоколов заседаний межведомственной комиссии.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17. Изменения в состав межведомственной комиссии вносятся Постановлением администрации.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Комиссия рассматривает поступившее заявление или заключение органа государственного надзора (контроля)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после истечения срока, предусмотренного п.18 настоящего Положения.</w:t>
      </w:r>
      <w:proofErr w:type="gramEnd"/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№ 47 (Приложения 1 и 2 к Положению)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28.01.2006 № 47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требованиями;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 выявлении оснований для признания помещения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непригодным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для проживания;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реконструкции;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сносу.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полученного заключения администрация муниципального образования в течение 30 календарных дней со дня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получения заключения в установленном им порядке принимает решение,</w:t>
      </w:r>
      <w:r>
        <w:rPr>
          <w:rFonts w:eastAsia="Arial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предусмотренное абзацем седьмым п.7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Правительства РФ от 28.01.2006 № 47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признании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необходимости проведения ремонтно-восстановительных работ.</w:t>
      </w: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в 5-дневный срок после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по 1 экземпляру постановления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контроля по месту нахождения такого помещения или дома.</w:t>
      </w:r>
    </w:p>
    <w:p w:rsidR="005D274C" w:rsidRDefault="005D274C" w:rsidP="005D274C">
      <w:pPr>
        <w:widowControl/>
        <w:autoSpaceDE/>
        <w:adjustRightInd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5D274C" w:rsidRDefault="005D274C" w:rsidP="005D274C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D274C" w:rsidRDefault="005D274C" w:rsidP="005D274C">
      <w:pPr>
        <w:suppressAutoHyphens/>
        <w:autoSpaceDN/>
        <w:adjustRightInd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26. Протокол заседания межведомственной комиссии подписывается всеми присутствующими на заседании членами межведомственной комиссии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 утверждается председателем межведомственной комиссии.</w:t>
      </w:r>
    </w:p>
    <w:p w:rsidR="005D274C" w:rsidRDefault="005D274C" w:rsidP="005D274C">
      <w:pPr>
        <w:suppressAutoHyphens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Решение и заключение могут быть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обжалованы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заинтересованными лицами в судебном порядке.</w:t>
      </w:r>
    </w:p>
    <w:p w:rsidR="005D274C" w:rsidRDefault="005D274C" w:rsidP="005D274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5D274C" w:rsidRDefault="005D274C" w:rsidP="005D274C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межведомственной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оценки и обследования помещения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признания его жилым помещением,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(непригодным)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проживания, а также многоквартирного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в целях признания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djustRightInd/>
        <w:spacing w:after="48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rFonts w:ascii="Times New Roman" w:hAnsi="Times New Roman" w:cs="Times New Roman"/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rFonts w:ascii="Times New Roman" w:hAnsi="Times New Roman" w:cs="Times New Roman"/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4110"/>
      </w:tblGrid>
      <w:tr w:rsidR="005D274C" w:rsidTr="005D274C">
        <w:trPr>
          <w:cantSplit/>
        </w:trPr>
        <w:tc>
          <w:tcPr>
            <w:tcW w:w="392" w:type="dxa"/>
            <w:vAlign w:val="bottom"/>
            <w:hideMark/>
          </w:tcPr>
          <w:p w:rsidR="005D274C" w:rsidRDefault="005D274C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392" w:type="dxa"/>
          </w:tcPr>
          <w:p w:rsidR="005D274C" w:rsidRDefault="005D274C">
            <w:pPr>
              <w:widowControl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hideMark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5D274C" w:rsidRDefault="005D274C" w:rsidP="005D274C">
      <w:pPr>
        <w:widowControl/>
        <w:adjustRightInd/>
        <w:spacing w:before="240"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D274C" w:rsidRDefault="005D274C" w:rsidP="005D274C">
      <w:pPr>
        <w:widowControl/>
        <w:adjustRightInd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510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(кем назначена, наименование федерального органа </w:t>
      </w:r>
      <w:proofErr w:type="gramEnd"/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председателя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24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 и место работы)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20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 и место работы)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40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 и место работы)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7785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 и место работы)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45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(приводится перечень документов)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 на основании решения межведомственной комиссии обследование не проводилось)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приняла заключение о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241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</w:t>
      </w:r>
      <w:proofErr w:type="gramEnd"/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об оценке соответствия помещения (многоквартирного дома) требованиям, установленным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и многоквартирного дома аварийным и подлежащим сносу или реконструкции)</w:t>
      </w:r>
    </w:p>
    <w:p w:rsidR="005D274C" w:rsidRDefault="005D274C" w:rsidP="005D274C">
      <w:pPr>
        <w:widowControl/>
        <w:adjustRightInd/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tabs>
          <w:tab w:val="left" w:pos="9355"/>
          <w:tab w:val="left" w:pos="9720"/>
        </w:tabs>
        <w:autoSpaceDE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tabs>
          <w:tab w:val="left" w:pos="9355"/>
          <w:tab w:val="left" w:pos="9720"/>
        </w:tabs>
        <w:autoSpaceDE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tabs>
          <w:tab w:val="left" w:pos="9355"/>
          <w:tab w:val="left" w:pos="9720"/>
        </w:tabs>
        <w:autoSpaceDE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tabs>
          <w:tab w:val="left" w:pos="9355"/>
          <w:tab w:val="left" w:pos="9720"/>
        </w:tabs>
        <w:autoSpaceDE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tabs>
          <w:tab w:val="left" w:pos="9355"/>
          <w:tab w:val="left" w:pos="9720"/>
        </w:tabs>
        <w:autoSpaceDE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tabs>
          <w:tab w:val="left" w:pos="9355"/>
          <w:tab w:val="left" w:pos="9720"/>
        </w:tabs>
        <w:autoSpaceDE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tabs>
          <w:tab w:val="left" w:pos="9355"/>
          <w:tab w:val="left" w:pos="9720"/>
        </w:tabs>
        <w:autoSpaceDE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tabs>
          <w:tab w:val="left" w:pos="9355"/>
          <w:tab w:val="left" w:pos="9720"/>
        </w:tabs>
        <w:autoSpaceDE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№ 2  к Положению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для оценки и обследования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 жилищного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Федерации, многоквартирных домов, находящихся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федеральной собственности,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в целях признания помещения жилым помещением,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(непригодным) для проживания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граждан, а также многоквартирного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подлежащим сносу или реконструкции</w:t>
      </w:r>
    </w:p>
    <w:p w:rsidR="005D274C" w:rsidRDefault="005D274C" w:rsidP="005D274C">
      <w:pPr>
        <w:widowControl/>
        <w:autoSpaceDE/>
        <w:adjustRightInd/>
        <w:jc w:val="right"/>
        <w:rPr>
          <w:rFonts w:ascii="Times New Roman" w:hAnsi="Times New Roman" w:cs="Times New Roman"/>
        </w:rPr>
      </w:pPr>
    </w:p>
    <w:p w:rsidR="005D274C" w:rsidRDefault="005D274C" w:rsidP="005D274C">
      <w:pPr>
        <w:widowControl/>
        <w:autoSpaceDE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D274C" w:rsidRDefault="005D274C" w:rsidP="005D274C">
      <w:pPr>
        <w:widowControl/>
        <w:adjustRightInd/>
        <w:spacing w:after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4110"/>
      </w:tblGrid>
      <w:tr w:rsidR="005D274C" w:rsidTr="005D274C">
        <w:trPr>
          <w:cantSplit/>
        </w:trPr>
        <w:tc>
          <w:tcPr>
            <w:tcW w:w="392" w:type="dxa"/>
            <w:vAlign w:val="bottom"/>
            <w:hideMark/>
          </w:tcPr>
          <w:p w:rsidR="005D274C" w:rsidRDefault="005D274C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392" w:type="dxa"/>
          </w:tcPr>
          <w:p w:rsidR="005D274C" w:rsidRDefault="005D274C">
            <w:pPr>
              <w:widowControl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hideMark/>
          </w:tcPr>
          <w:p w:rsidR="005D274C" w:rsidRDefault="005D274C">
            <w:pPr>
              <w:widowControl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5D274C" w:rsidRDefault="005D274C" w:rsidP="005D274C">
      <w:pPr>
        <w:widowControl/>
        <w:adjustRightInd/>
        <w:spacing w:before="240"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D274C" w:rsidRDefault="005D274C" w:rsidP="005D274C">
      <w:pPr>
        <w:widowControl/>
        <w:adjustRightInd/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510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(кем назначена, наименование федерального органа </w:t>
      </w:r>
      <w:proofErr w:type="gramEnd"/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председателя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24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 и место работы)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20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 и место работы)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40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 и место работы)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7785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 и место работы)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528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(реквизиты заявителя:</w:t>
      </w:r>
      <w:proofErr w:type="gramEnd"/>
      <w:r>
        <w:rPr>
          <w:rFonts w:ascii="Times New Roman" w:hAnsi="Times New Roman" w:cs="Times New Roman"/>
        </w:rPr>
        <w:t xml:space="preserve"> Ф.И.О. и адрес – 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физического лица, наименование организации и занимаемая должность – для юридического лица)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555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(адрес, принадлежность помещения,</w:t>
      </w:r>
      <w:proofErr w:type="gramEnd"/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кадастровый номер, год ввода в эксплуатацию)</w:t>
      </w:r>
    </w:p>
    <w:p w:rsidR="005D274C" w:rsidRDefault="005D274C" w:rsidP="005D274C">
      <w:pPr>
        <w:widowControl/>
        <w:adjustRightInd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5443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5812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15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проведен контроль (испытание), по каким показателям, какие фактические значения получены)</w:t>
      </w:r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left="1370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 обследования помещения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pBdr>
          <w:top w:val="single" w:sz="4" w:space="1" w:color="auto"/>
        </w:pBdr>
        <w:adjustRightInd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tabs>
          <w:tab w:val="right" w:pos="10205"/>
        </w:tabs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D274C" w:rsidRDefault="005D274C" w:rsidP="005D274C">
      <w:pPr>
        <w:widowControl/>
        <w:pBdr>
          <w:top w:val="single" w:sz="4" w:space="1" w:color="auto"/>
        </w:pBdr>
        <w:adjustRightInd/>
        <w:ind w:right="113"/>
        <w:rPr>
          <w:rFonts w:ascii="Times New Roman" w:hAnsi="Times New Roman" w:cs="Times New Roman"/>
          <w:sz w:val="2"/>
          <w:szCs w:val="2"/>
        </w:rPr>
      </w:pPr>
    </w:p>
    <w:p w:rsidR="005D274C" w:rsidRDefault="005D274C" w:rsidP="005D274C">
      <w:pPr>
        <w:widowControl/>
        <w:adjustRightInd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D274C" w:rsidRDefault="005D274C" w:rsidP="005D274C">
      <w:pPr>
        <w:widowControl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:rsidR="005D274C" w:rsidRDefault="005D274C" w:rsidP="005D274C">
      <w:pPr>
        <w:widowControl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5D274C" w:rsidRDefault="005D274C" w:rsidP="005D274C">
      <w:pPr>
        <w:widowControl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:rsidR="005D274C" w:rsidRDefault="005D274C" w:rsidP="005D274C">
      <w:pPr>
        <w:widowControl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5D274C" w:rsidRDefault="005D274C" w:rsidP="005D274C">
      <w:pPr>
        <w:widowControl/>
        <w:adjustRightInd/>
        <w:spacing w:after="60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utoSpaceDE/>
        <w:adjustRightInd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D274C" w:rsidTr="005D274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74C" w:rsidTr="005D274C">
        <w:trPr>
          <w:cantSplit/>
        </w:trPr>
        <w:tc>
          <w:tcPr>
            <w:tcW w:w="2835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hideMark/>
          </w:tcPr>
          <w:p w:rsidR="005D274C" w:rsidRDefault="005D274C">
            <w:pPr>
              <w:widowControl/>
              <w:adjustRightInd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D274C" w:rsidRDefault="005D274C" w:rsidP="005D274C">
      <w:pPr>
        <w:widowControl/>
        <w:adjustRightInd/>
        <w:rPr>
          <w:rFonts w:ascii="Times New Roman" w:hAnsi="Times New Roman" w:cs="Times New Roman"/>
          <w:sz w:val="24"/>
          <w:szCs w:val="24"/>
        </w:rPr>
      </w:pPr>
    </w:p>
    <w:p w:rsidR="005D274C" w:rsidRDefault="005D274C" w:rsidP="005D274C">
      <w:pPr>
        <w:widowControl/>
        <w:autoSpaceDE/>
        <w:adjustRightInd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Никольский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D274C" w:rsidRDefault="005D274C" w:rsidP="005D274C">
      <w:pPr>
        <w:widowControl/>
        <w:autoSpaceDE/>
        <w:adjustRightInd/>
        <w:spacing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11.06.2019 № 42-п</w:t>
      </w:r>
    </w:p>
    <w:p w:rsidR="005D274C" w:rsidRDefault="005D274C" w:rsidP="005D274C">
      <w:pPr>
        <w:widowControl/>
        <w:autoSpaceDE/>
        <w:adjustRightInd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ind w:left="70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D274C" w:rsidRDefault="005D274C" w:rsidP="005D274C">
      <w:pPr>
        <w:widowControl/>
        <w:autoSpaceDE/>
        <w:adjustRightInd/>
        <w:ind w:left="7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для оценки и обследования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в целях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</w:p>
    <w:p w:rsidR="005D274C" w:rsidRDefault="005D274C" w:rsidP="005D274C">
      <w:pPr>
        <w:widowControl/>
        <w:autoSpaceDE/>
        <w:adjustRightInd/>
        <w:spacing w:line="26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37" w:type="dxa"/>
        <w:tblInd w:w="108" w:type="dxa"/>
        <w:tblLook w:val="00A0" w:firstRow="1" w:lastRow="0" w:firstColumn="1" w:lastColumn="0" w:noHBand="0" w:noVBand="0"/>
      </w:tblPr>
      <w:tblGrid>
        <w:gridCol w:w="4376"/>
        <w:gridCol w:w="5263"/>
        <w:gridCol w:w="598"/>
      </w:tblGrid>
      <w:tr w:rsidR="005D274C" w:rsidTr="005D274C">
        <w:trPr>
          <w:gridAfter w:val="1"/>
          <w:wAfter w:w="598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4C" w:rsidRDefault="005D274C">
            <w:pPr>
              <w:keepNext/>
              <w:widowControl/>
              <w:autoSpaceDE/>
              <w:adjustRightInd/>
              <w:spacing w:line="26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Ольга Ивановна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4C" w:rsidRDefault="005D274C" w:rsidP="008101AD">
            <w:pPr>
              <w:widowControl/>
              <w:autoSpaceDE/>
              <w:adjustRightInd/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A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комиссии, глава муниципального образования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Оренбургского района Оренбургской области;</w:t>
            </w:r>
          </w:p>
        </w:tc>
      </w:tr>
      <w:tr w:rsidR="005D274C" w:rsidTr="005D274C">
        <w:trPr>
          <w:gridAfter w:val="1"/>
          <w:wAfter w:w="598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C" w:rsidRDefault="005D274C">
            <w:pPr>
              <w:widowControl/>
              <w:autoSpaceDE/>
              <w:adjustRightInd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810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  <w:p w:rsidR="005D274C" w:rsidRDefault="005D274C">
            <w:pPr>
              <w:widowControl/>
              <w:autoSpaceDE/>
              <w:adjustRightInd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4C" w:rsidRDefault="005D274C" w:rsidP="008101AD">
            <w:pPr>
              <w:widowControl/>
              <w:autoSpaceDE/>
              <w:adjustRightInd/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01A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r w:rsidR="008101A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Оренбургского района Оренбургской области;</w:t>
            </w:r>
          </w:p>
        </w:tc>
      </w:tr>
      <w:tr w:rsidR="008101AD" w:rsidTr="005D274C">
        <w:trPr>
          <w:gridAfter w:val="1"/>
          <w:wAfter w:w="598" w:type="dxa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D" w:rsidRDefault="008101AD">
            <w:pPr>
              <w:widowControl/>
              <w:autoSpaceDE/>
              <w:adjustRightInd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D" w:rsidRDefault="008101AD" w:rsidP="008101AD">
            <w:pPr>
              <w:widowControl/>
              <w:autoSpaceDE/>
              <w:adjustRightInd/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специалист 1 категории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Оренбургского района Оренбургской области</w:t>
            </w:r>
          </w:p>
        </w:tc>
      </w:tr>
      <w:tr w:rsidR="005D274C" w:rsidTr="005D274C">
        <w:tc>
          <w:tcPr>
            <w:tcW w:w="4376" w:type="dxa"/>
          </w:tcPr>
          <w:p w:rsidR="005D274C" w:rsidRDefault="005D274C">
            <w:pPr>
              <w:widowControl/>
              <w:autoSpaceDE/>
              <w:adjustRightInd/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1" w:type="dxa"/>
            <w:gridSpan w:val="2"/>
          </w:tcPr>
          <w:p w:rsidR="005D274C" w:rsidRDefault="005D274C">
            <w:pPr>
              <w:widowControl/>
              <w:autoSpaceDE/>
              <w:adjustRightInd/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74C" w:rsidTr="005D274C">
        <w:tc>
          <w:tcPr>
            <w:tcW w:w="10237" w:type="dxa"/>
            <w:gridSpan w:val="3"/>
            <w:hideMark/>
          </w:tcPr>
          <w:p w:rsidR="005D274C" w:rsidRDefault="005D274C">
            <w:pPr>
              <w:widowControl/>
              <w:autoSpaceDE/>
              <w:adjustRightInd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07"/>
              <w:gridCol w:w="5319"/>
            </w:tblGrid>
            <w:tr w:rsidR="005D274C"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Захарова </w:t>
                  </w:r>
                </w:p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Светлана  Игоревна</w:t>
                  </w:r>
                </w:p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специалист отдела нормативно-технического контроля (надзора) государственной жилищной инспекции по Оренбургской области (по согласованию)</w:t>
                  </w:r>
                </w:p>
              </w:tc>
            </w:tr>
            <w:tr w:rsidR="005D274C"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Сазонов Эдуард Владимирович</w:t>
                  </w:r>
                </w:p>
              </w:tc>
              <w:tc>
                <w:tcPr>
                  <w:tcW w:w="5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начальник Управления имущественных и земельных отношений администрации муниципального образования Оренбургский район Оренбургской области (по согласованию);</w:t>
                  </w:r>
                </w:p>
              </w:tc>
            </w:tr>
            <w:tr w:rsidR="005D274C"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Григорьева Екатерина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Владимировна</w:t>
                  </w:r>
                </w:p>
              </w:tc>
              <w:tc>
                <w:tcPr>
                  <w:tcW w:w="5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начальник отдела архитектуры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градостроительства – главный архитектор администрации муниципального образования Оренбургский район Оренбургской области (по согласованию);</w:t>
                  </w:r>
                </w:p>
              </w:tc>
            </w:tr>
            <w:tr w:rsidR="005D274C">
              <w:trPr>
                <w:trHeight w:val="697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after="20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Зеленин Валерий Васильевич</w:t>
                  </w:r>
                </w:p>
              </w:tc>
              <w:tc>
                <w:tcPr>
                  <w:tcW w:w="5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главный специалист МБУ «УКС» администрации муниципального образования Оренбургский район Оренбургской области (по согласованию);</w:t>
                  </w:r>
                </w:p>
              </w:tc>
            </w:tr>
            <w:tr w:rsidR="005D274C"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Каневская О.Б.</w:t>
                  </w:r>
                </w:p>
              </w:tc>
              <w:tc>
                <w:tcPr>
                  <w:tcW w:w="5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-начальник Центрального территориального отдела Управления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Оренбургской области (по согласованию);</w:t>
                  </w:r>
                </w:p>
              </w:tc>
            </w:tr>
            <w:tr w:rsidR="005D274C"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Пузий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  Леонтьевич</w:t>
                  </w:r>
                </w:p>
              </w:tc>
              <w:tc>
                <w:tcPr>
                  <w:tcW w:w="5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4C" w:rsidRDefault="005D274C">
                  <w:pPr>
                    <w:widowControl/>
                    <w:autoSpaceDE/>
                    <w:adjustRightInd/>
                    <w:spacing w:line="26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по делам ГОЧС и взаимодействию с правоохранительными органами администрации муниципального образования Оренбургский район Оренбургской области (по согласованию);</w:t>
                  </w:r>
                </w:p>
              </w:tc>
            </w:tr>
          </w:tbl>
          <w:p w:rsidR="005D274C" w:rsidRDefault="005D274C">
            <w:pPr>
              <w:widowControl/>
              <w:autoSpaceDE/>
              <w:adjustRightInd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74C" w:rsidRDefault="005D274C" w:rsidP="005D274C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комиссии привлекается:</w:t>
      </w:r>
    </w:p>
    <w:p w:rsidR="005D274C" w:rsidRDefault="005D274C" w:rsidP="005D274C">
      <w:pPr>
        <w:widowControl/>
        <w:autoSpaceDE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5D274C" w:rsidRDefault="005D274C" w:rsidP="005D274C">
      <w:pPr>
        <w:widowControl/>
        <w:autoSpaceDE/>
        <w:adjustRightInd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необходимых случаях – квалифицированные эксперты проектно-изыскательных организаций (с правом решающего голоса). </w:t>
      </w:r>
    </w:p>
    <w:p w:rsidR="005D274C" w:rsidRDefault="005D274C" w:rsidP="005D274C">
      <w:pPr>
        <w:widowControl/>
        <w:autoSpaceDE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spacing w:after="20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D274C" w:rsidRDefault="005D274C" w:rsidP="005D274C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>
      <w:pPr>
        <w:rPr>
          <w:rFonts w:ascii="Times New Roman" w:hAnsi="Times New Roman"/>
          <w:sz w:val="28"/>
          <w:szCs w:val="28"/>
        </w:rPr>
      </w:pPr>
    </w:p>
    <w:p w:rsidR="005D274C" w:rsidRDefault="005D274C" w:rsidP="005D274C"/>
    <w:p w:rsidR="0025677A" w:rsidRDefault="0025677A"/>
    <w:sectPr w:rsidR="0025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9C"/>
    <w:rsid w:val="0025677A"/>
    <w:rsid w:val="005D274C"/>
    <w:rsid w:val="008101AD"/>
    <w:rsid w:val="008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B855105F0E3A256B10EF9EF111F5D505C7BD5F70F13281126370074Fw52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9E163080F2E666932813C8B3D9249BC8489C33B0EF1E303946BD4A45B347586506D8B3B2EF509w6eAK" TargetMode="External"/><Relationship Id="rId5" Type="http://schemas.openxmlformats.org/officeDocument/2006/relationships/hyperlink" Target="consultantplus://offline/ref=5B89E163080F2E666932813C8B3D9249BC848BC83B03F1E303946BD4A4w5e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3438</Words>
  <Characters>19603</Characters>
  <Application>Microsoft Office Word</Application>
  <DocSecurity>0</DocSecurity>
  <Lines>163</Lines>
  <Paragraphs>45</Paragraphs>
  <ScaleCrop>false</ScaleCrop>
  <Company/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dcterms:created xsi:type="dcterms:W3CDTF">2019-09-24T06:02:00Z</dcterms:created>
  <dcterms:modified xsi:type="dcterms:W3CDTF">2019-09-24T12:59:00Z</dcterms:modified>
</cp:coreProperties>
</file>