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A69B7" w:rsidRDefault="00FA69B7" w:rsidP="00FA6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B7" w:rsidRDefault="00FA69B7" w:rsidP="00FA6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9B7" w:rsidRDefault="00FA69B7" w:rsidP="00FA6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69B7" w:rsidRDefault="00FA69B7" w:rsidP="00FA69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69B7" w:rsidRDefault="00FA69B7" w:rsidP="00FA69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30.09.2019                                                                          № 129</w:t>
      </w:r>
    </w:p>
    <w:p w:rsidR="00FA69B7" w:rsidRDefault="00FA69B7" w:rsidP="00FA69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9B7" w:rsidRDefault="00FA69B7" w:rsidP="00FA69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69B7" w:rsidRPr="00FA69B7" w:rsidRDefault="00FA69B7" w:rsidP="00FA69B7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32"/>
          <w:szCs w:val="32"/>
          <w:lang w:eastAsia="ru-RU"/>
        </w:rPr>
      </w:pPr>
      <w:r w:rsidRPr="00FA69B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FA69B7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Никольский сельсовет Оренбургского района Оренбургской области № 67 от 17.10.2017 года  «Об утверждении Положения о бюджетном процессе в муниципальном образовании  Никольский сельсовет Оренбургского района Оренбургской области</w:t>
      </w:r>
      <w:r w:rsidRPr="00FA69B7">
        <w:rPr>
          <w:rFonts w:ascii="Arial" w:eastAsia="Times New Roman" w:hAnsi="Arial" w:cs="Arial"/>
          <w:color w:val="262626"/>
          <w:sz w:val="32"/>
          <w:szCs w:val="32"/>
          <w:lang w:eastAsia="ru-RU"/>
        </w:rPr>
        <w:t>»</w:t>
      </w:r>
    </w:p>
    <w:p w:rsidR="00FA69B7" w:rsidRDefault="00FA69B7" w:rsidP="00FA69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FA69B7" w:rsidRDefault="00FA69B7" w:rsidP="00FA6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1A078F" w:rsidRPr="001A078F" w:rsidRDefault="001A078F" w:rsidP="001A0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 (с изменениями), Федеральным законом от 06.10.2003 г. № 131-ФЗ «Об общих принципах организации местного самоуправления в Российской Федерации», в целях определения правового положения субъектов бюджетных правоотношений, порядка составления, рассмотрения и внесения изменений в бюджет муниципального образования Никольский сельсовет, порядка утверждения и исполнения бюджета муниципального образования Никольский сельсовет, регулирования межбюджетных отношений, утверждения основ составления, внешней</w:t>
      </w:r>
      <w:proofErr w:type="gram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рассмотрения и утверждения бюджетной отчетности, организационных форм </w:t>
      </w: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бюджета муниципального образования Никольский сельсовет,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</w:t>
      </w:r>
    </w:p>
    <w:p w:rsidR="001A078F" w:rsidRPr="001A078F" w:rsidRDefault="001A078F" w:rsidP="001A07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1A078F" w:rsidRPr="001A078F" w:rsidRDefault="001A078F" w:rsidP="001A07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78F" w:rsidRPr="001A078F" w:rsidRDefault="001A078F" w:rsidP="001A078F">
      <w:pPr>
        <w:numPr>
          <w:ilvl w:val="0"/>
          <w:numId w:val="1"/>
        </w:num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40" w:lineRule="auto"/>
        <w:ind w:lef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Совета депутатов муниципального образования Никольский сельсовет Оренбургского района Оренбургской области № 67  от 17.10.2017 года «Об утверждении Положения о бюджетном процессе в муниципальном образовании Никольский сельсовет Оренбургского района Оренбургской области»:</w:t>
      </w:r>
    </w:p>
    <w:p w:rsidR="001A078F" w:rsidRPr="001A078F" w:rsidRDefault="001A078F" w:rsidP="001A078F">
      <w:pPr>
        <w:numPr>
          <w:ilvl w:val="1"/>
          <w:numId w:val="1"/>
        </w:num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40" w:lineRule="auto"/>
        <w:ind w:left="7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 2 статьи 9 настоящего Положения изложить в новой редакции: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6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«2. Главный распорядитель средств бюджета муниципального образования выступает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суде соответственно от имени муниципального образования в качестве представителя ответчика по искам к муниципальному образованию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6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2341"/>
      <w:bookmarkEnd w:id="0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 возмещении вреда, причиненного физическому лицу или юридическому лицу в результате незаконных действий (бездействия) органа местного самоуправления или должностных лиц этих органа, по ведомственной принадлежности, в том числе в результате издания актов органа местного самоуправления, не соответствующих закону или иному правовому акту;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6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3167"/>
      <w:bookmarkEnd w:id="1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6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3705"/>
      <w:bookmarkEnd w:id="2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.».</w:t>
      </w:r>
    </w:p>
    <w:p w:rsidR="001A078F" w:rsidRPr="001A078F" w:rsidRDefault="001A078F" w:rsidP="001A078F">
      <w:pPr>
        <w:numPr>
          <w:ilvl w:val="1"/>
          <w:numId w:val="1"/>
        </w:num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90" w:lineRule="atLeast"/>
        <w:ind w:left="72"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Пункт 2 статьи 9 настоящего Положения дополнить пунктом 2.1. следующего содержания:</w:t>
      </w:r>
    </w:p>
    <w:p w:rsidR="001A078F" w:rsidRPr="001A078F" w:rsidRDefault="001A078F" w:rsidP="001A078F">
      <w:p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90" w:lineRule="atLeast"/>
        <w:ind w:left="72" w:firstLine="709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«2.1. </w:t>
      </w: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A07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</w:t>
      </w:r>
      <w:r w:rsidRPr="001A07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 </w:t>
      </w:r>
      <w:hyperlink r:id="rId6" w:anchor="dst101" w:history="1">
        <w:r w:rsidRPr="001A078F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пунктом 3.1 статьи 1081</w:t>
        </w:r>
      </w:hyperlink>
      <w:r w:rsidRPr="001A078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образования.».</w:t>
      </w:r>
      <w:proofErr w:type="gramEnd"/>
    </w:p>
    <w:p w:rsidR="001A078F" w:rsidRPr="001A078F" w:rsidRDefault="001A078F" w:rsidP="001A078F">
      <w:pPr>
        <w:numPr>
          <w:ilvl w:val="1"/>
          <w:numId w:val="1"/>
        </w:num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дополнить статьей 53 следующего содержания:</w:t>
      </w:r>
    </w:p>
    <w:p w:rsidR="001A078F" w:rsidRPr="001A078F" w:rsidRDefault="001A078F" w:rsidP="001A078F">
      <w:pPr>
        <w:shd w:val="clear" w:color="auto" w:fill="FFFFFF"/>
        <w:tabs>
          <w:tab w:val="left" w:pos="1206"/>
        </w:tabs>
        <w:autoSpaceDE w:val="0"/>
        <w:autoSpaceDN w:val="0"/>
        <w:adjustRightInd w:val="0"/>
        <w:spacing w:after="0" w:line="290" w:lineRule="atLeast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78F" w:rsidRPr="001A078F" w:rsidRDefault="001A078F" w:rsidP="001A078F">
      <w:pPr>
        <w:keepNext/>
        <w:shd w:val="clear" w:color="auto" w:fill="FFFFFF"/>
        <w:spacing w:after="144" w:line="290" w:lineRule="atLeast"/>
        <w:ind w:firstLine="540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«Статья 53. </w:t>
      </w:r>
      <w:proofErr w:type="gramStart"/>
      <w:r w:rsidRPr="001A078F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Предоставление субсидий юридическим лицам (за исключением субсидий муниципальным учреждениям, индивидуальным предпринимателям, физическим лицам</w:t>
      </w:r>
      <w:proofErr w:type="gramEnd"/>
    </w:p>
    <w:p w:rsidR="001A078F" w:rsidRPr="001A078F" w:rsidRDefault="001A078F" w:rsidP="001A078F">
      <w:pPr>
        <w:shd w:val="clear" w:color="auto" w:fill="FFFFFF"/>
        <w:spacing w:after="0" w:line="290" w:lineRule="atLeast"/>
        <w:ind w:firstLine="63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3921"/>
      <w:bookmarkEnd w:id="3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Субсидии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выполнением работ, оказанием услуг.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4772"/>
      <w:bookmarkEnd w:id="4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Субсидии юридическим лицам (за исключением субсидий муниципальным учреждениям, а также субсидий, указанных в </w:t>
      </w:r>
      <w:hyperlink r:id="rId7" w:anchor="dst4394" w:history="1">
        <w:r w:rsidRPr="001A078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6</w:t>
        </w:r>
      </w:hyperlink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8" w:anchor="dst4778" w:history="1">
        <w:r w:rsidRPr="001A078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8.1</w:t>
        </w:r>
      </w:hyperlink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статьи), индивидуальным предпринимателям, а также физическим лицам - производителям товаров, работ, услуг предоставляются: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3398"/>
      <w:bookmarkStart w:id="6" w:name="dst103400"/>
      <w:bookmarkEnd w:id="5"/>
      <w:bookmarkEnd w:id="6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местного бюджета - в случаях и порядке, предусмотренных решением Совета депутатов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3524"/>
      <w:bookmarkEnd w:id="7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Нормативные правовые акты, муниципальные правовые акты, регулирующие 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услуг, должны соответствовать 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общим </w:t>
      </w:r>
      <w:hyperlink r:id="rId9" w:anchor="dst100011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установленным Правительством Российской Федерации, и определять:</w:t>
      </w:r>
      <w:proofErr w:type="gramEnd"/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410"/>
      <w:bookmarkEnd w:id="8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категории и (или) критерии отбора юридических лиц (за исключением муниципальных учреждений,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411"/>
      <w:bookmarkEnd w:id="9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цели, условия и порядок предоставления субсидий;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3130"/>
      <w:bookmarkEnd w:id="10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3567"/>
      <w:bookmarkEnd w:id="11"/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3132"/>
      <w:bookmarkEnd w:id="12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4773"/>
      <w:bookmarkEnd w:id="13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возврату в соответствующий бюджет бюджетной системы Российской Федерации.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3279"/>
      <w:bookmarkEnd w:id="14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bookmarkStart w:id="15" w:name="dst4774"/>
      <w:bookmarkStart w:id="16" w:name="dst4776"/>
      <w:bookmarkEnd w:id="15"/>
      <w:bookmarkEnd w:id="16"/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3676"/>
      <w:bookmarkEnd w:id="17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bookmarkStart w:id="18" w:name="dst4394"/>
      <w:bookmarkEnd w:id="18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</w:t>
      </w:r>
      <w:proofErr w:type="spell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-частном партнерстве, концессионными соглашениями, заключенными в </w:t>
      </w:r>
      <w:hyperlink r:id="rId10" w:anchor="dst100152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определенном соответственно 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законодательством Российской Федерации о государственно-частном партнерстве, </w:t>
      </w:r>
      <w:proofErr w:type="spell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</w:t>
      </w:r>
      <w:proofErr w:type="spell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-частном партнерстве, законодательством Российской Федерации о концессионных соглашениях.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3405"/>
      <w:bookmarkEnd w:id="19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4777"/>
      <w:bookmarkEnd w:id="20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предоставления указанных субсидий из местного бюджета, если данный порядок не определен решениями, предусмотренными </w:t>
      </w:r>
      <w:hyperlink r:id="rId11" w:anchor="dst103405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абзацем первым</w:t>
        </w:r>
      </w:hyperlink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устанавливается муниципальными правовыми актами местной администрации, которые должны соответствовать общим </w:t>
      </w:r>
      <w:hyperlink r:id="rId12" w:anchor="dst100011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установленным Правительством Российской Федерации.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3570"/>
      <w:bookmarkEnd w:id="21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Федерации.</w:t>
      </w:r>
    </w:p>
    <w:bookmarkStart w:id="22" w:name="dst4696"/>
    <w:bookmarkEnd w:id="22"/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"http://www.consultant.ru/document/cons_doc_LAW_315329/" \l "dst100009" </w:instrTex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 о предоставлении субсидий, предусмотренных </w:t>
      </w:r>
      <w:hyperlink r:id="rId13" w:anchor="dst103570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абзацем первым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 настоящего пункта, из федерального бюджета, бюджета субъекта Российской Федерации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местного бюджета принимаются соответственно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принимаются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>Условие об осуществлении получателем субсидии закупок в порядке законодательства о контрактной системе </w:t>
      </w:r>
      <w:hyperlink r:id="rId14" w:anchor="dst100249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не применяется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к договорам, заключенным до 01.01.2018; 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к закупкам, извещения о которых размещены в ЕИС либо приглашения принять </w:t>
      </w: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proofErr w:type="gram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направлены до 01.01.2018 (ФЗ от 18.07.2017 N 178-ФЗ).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3572"/>
      <w:bookmarkEnd w:id="23"/>
      <w:r w:rsidRPr="001A078F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субсидий, предусмотренных </w:t>
      </w:r>
      <w:hyperlink r:id="rId15" w:anchor="dst103570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абзацем первым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 настоящего пункта, осуществляется в соответствии с договором (соглашением), заключаемым между получателем бюджетных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средств, предоставляющим субсидию, и юридическим лицом, которому предоставляется субсидия.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предусмотренная </w:t>
      </w:r>
      <w:hyperlink r:id="rId16" w:anchor="dst103570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абзацем первым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 на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финансовом году (за исключением субсидии, 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17" w:anchor="dst103573" w:history="1">
        <w:r w:rsidRPr="001A078F">
          <w:rPr>
            <w:rFonts w:ascii="Arial" w:eastAsia="Times New Roman" w:hAnsi="Arial" w:cs="Arial"/>
            <w:sz w:val="24"/>
            <w:szCs w:val="24"/>
            <w:lang w:eastAsia="ru-RU"/>
          </w:rPr>
          <w:t>абзаце четвертом</w:t>
        </w:r>
      </w:hyperlink>
      <w:r w:rsidRPr="001A078F">
        <w:rPr>
          <w:rFonts w:ascii="Arial" w:eastAsia="Times New Roman" w:hAnsi="Arial" w:cs="Arial"/>
          <w:sz w:val="24"/>
          <w:szCs w:val="24"/>
          <w:lang w:eastAsia="ru-RU"/>
        </w:rPr>
        <w:t> настоящего пункта, решение о наличии потребности в использовании этих средств на цели предоставле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ния субсидии в текущем финансовом году.</w:t>
      </w:r>
      <w:proofErr w:type="gramEnd"/>
    </w:p>
    <w:bookmarkStart w:id="24" w:name="dst103573"/>
    <w:bookmarkEnd w:id="24"/>
    <w:p w:rsidR="001A078F" w:rsidRPr="001A078F" w:rsidRDefault="001A078F" w:rsidP="001A078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"http://www.consultant.ru/document/cons_doc_LAW_305535/" \l "dst100011" </w:instrTex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предоставления субсидий, предусмотренных настоящим пунктом, из местного бюджета, включая требования к договорам (соглашениям) о предоставлении субсидий, срокам и условиям их предоставления, устанавливается соответственно муниципальными правовыми актами местной администрации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.».</w:t>
      </w:r>
      <w:proofErr w:type="gramEnd"/>
    </w:p>
    <w:p w:rsidR="001A078F" w:rsidRPr="001A078F" w:rsidRDefault="001A078F" w:rsidP="001A078F">
      <w:pPr>
        <w:numPr>
          <w:ilvl w:val="1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Положение дополнить статьей 54 следующего содержания: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left="1571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A078F" w:rsidRPr="001A078F" w:rsidRDefault="001A078F" w:rsidP="001A078F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«54. Перечень и оценка налоговых расходов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78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4767"/>
      <w:bookmarkEnd w:id="25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Перечень налоговых расходов муниципального образования формируется в порядке, установленном соответственно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78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4768"/>
      <w:bookmarkEnd w:id="26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bookmarkStart w:id="27" w:name="dst4769"/>
      <w:bookmarkEnd w:id="27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 налоговых расходов муниципального образования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1A078F" w:rsidRPr="001A078F" w:rsidRDefault="001A078F" w:rsidP="001A078F">
      <w:pPr>
        <w:shd w:val="clear" w:color="auto" w:fill="FFFFFF"/>
        <w:spacing w:after="0" w:line="290" w:lineRule="atLeast"/>
        <w:ind w:firstLine="78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4770"/>
      <w:bookmarkEnd w:id="28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и таможенно-тарифной политики Российской Федерации (основных направлений бюджетной и налоговой политики муниципального образования), а также при проведении оценки эффективности реализации </w:t>
      </w:r>
      <w:bookmarkStart w:id="29" w:name="_GoBack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 программ</w:t>
      </w:r>
      <w:proofErr w:type="gramStart"/>
      <w:r w:rsidRPr="001A0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.»</w:t>
      </w:r>
      <w:bookmarkStart w:id="30" w:name="dst4778"/>
      <w:bookmarkStart w:id="31" w:name="dst4784"/>
      <w:bookmarkStart w:id="32" w:name="dst4790"/>
      <w:bookmarkStart w:id="33" w:name="dst5561"/>
      <w:bookmarkEnd w:id="30"/>
      <w:bookmarkEnd w:id="31"/>
      <w:bookmarkEnd w:id="32"/>
      <w:bookmarkEnd w:id="33"/>
      <w:proofErr w:type="gramEnd"/>
    </w:p>
    <w:p w:rsidR="001A078F" w:rsidRPr="001A078F" w:rsidRDefault="001A078F" w:rsidP="001A0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</w:t>
      </w:r>
    </w:p>
    <w:p w:rsidR="001A078F" w:rsidRPr="001A078F" w:rsidRDefault="001A078F" w:rsidP="001A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 комиссию  по  бюджетной, налоговой и финансовой  политике, собственности  и  экономическим  вопросам (Ширяева П.А.) и ведущего специалиста администрации муниципального образования Никольский сельсовет – Корчагину Е.В.</w:t>
      </w:r>
    </w:p>
    <w:p w:rsidR="001A078F" w:rsidRPr="001A078F" w:rsidRDefault="001A078F" w:rsidP="001A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подписания и подлежит обнародованию и размещению в сети Интернет на официальном сайте муниципального образования Никольский  сельсовет Оренбургского района Оренбургской области: никольский-</w:t>
      </w:r>
      <w:proofErr w:type="spellStart"/>
      <w:r w:rsidRPr="001A078F">
        <w:rPr>
          <w:rFonts w:ascii="Arial" w:eastAsia="Times New Roman" w:hAnsi="Arial" w:cs="Arial"/>
          <w:sz w:val="24"/>
          <w:szCs w:val="24"/>
          <w:lang w:eastAsia="ru-RU"/>
        </w:rPr>
        <w:t>сельсовет.рф</w:t>
      </w:r>
      <w:proofErr w:type="spellEnd"/>
      <w:r w:rsidRPr="001A07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078F" w:rsidRPr="001A078F" w:rsidRDefault="001A078F" w:rsidP="001A0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78F" w:rsidRPr="001A078F" w:rsidRDefault="001A078F" w:rsidP="001A0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78F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078F" w:rsidRPr="001A078F" w:rsidRDefault="001A078F" w:rsidP="001A0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78F" w:rsidRPr="001A078F" w:rsidRDefault="001A078F" w:rsidP="001A0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</w:t>
      </w:r>
    </w:p>
    <w:p w:rsidR="001A078F" w:rsidRPr="001A078F" w:rsidRDefault="001A078F" w:rsidP="001A0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1A078F">
        <w:rPr>
          <w:rFonts w:ascii="Arial" w:eastAsia="Times New Roman" w:hAnsi="Arial" w:cs="Arial"/>
          <w:sz w:val="24"/>
          <w:szCs w:val="24"/>
          <w:lang w:eastAsia="ru-RU"/>
        </w:rPr>
        <w:t xml:space="preserve"> О.И.Кузьмина</w:t>
      </w:r>
    </w:p>
    <w:bookmarkEnd w:id="29"/>
    <w:p w:rsidR="001A078F" w:rsidRPr="001A078F" w:rsidRDefault="001A078F" w:rsidP="001A078F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A078F" w:rsidRPr="001A078F" w:rsidRDefault="001A078F" w:rsidP="001A078F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A078F" w:rsidRPr="001A078F" w:rsidRDefault="001A078F" w:rsidP="001A078F">
      <w:pPr>
        <w:spacing w:after="0" w:line="240" w:lineRule="auto"/>
        <w:ind w:left="1260" w:hanging="12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A69B7" w:rsidRDefault="00FA69B7" w:rsidP="00FA69B7">
      <w:pPr>
        <w:spacing w:after="0" w:line="240" w:lineRule="auto"/>
        <w:ind w:right="49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                                              </w:t>
      </w:r>
      <w:bookmarkStart w:id="34" w:name="Par47"/>
      <w:bookmarkEnd w:id="34"/>
    </w:p>
    <w:p w:rsidR="001A078F" w:rsidRDefault="00FA69B7" w:rsidP="001A078F">
      <w:pPr>
        <w:tabs>
          <w:tab w:val="left" w:pos="1140"/>
          <w:tab w:val="left" w:pos="1245"/>
        </w:tabs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F828" wp14:editId="49C4D0E6">
                <wp:simplePos x="0" y="0"/>
                <wp:positionH relativeFrom="column">
                  <wp:posOffset>-45085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9B7" w:rsidRDefault="00FA69B7" w:rsidP="00FA69B7"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900" w:type="dxa"/>
                              <w:tblBorders>
                                <w:top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240"/>
                              <w:gridCol w:w="360"/>
                            </w:tblGrid>
                            <w:tr w:rsidR="00FA69B7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FA69B7" w:rsidRDefault="00FA69B7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FA69B7" w:rsidRDefault="00FA69B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</w:tcPr>
                                <w:p w:rsidR="00FA69B7" w:rsidRDefault="00FA69B7"/>
                              </w:tc>
                            </w:tr>
                          </w:tbl>
                          <w:p w:rsidR="00FA69B7" w:rsidRDefault="00FA69B7" w:rsidP="00FA69B7">
                            <w:pPr>
                              <w:tabs>
                                <w:tab w:val="left" w:pos="1140"/>
                                <w:tab w:val="left" w:pos="1245"/>
                              </w:tabs>
                            </w:pPr>
                            <w:r>
                              <w:tab/>
                            </w:r>
                          </w:p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  <w:p w:rsidR="00FA69B7" w:rsidRDefault="00FA69B7" w:rsidP="00FA6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55pt;margin-top:12.1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" strokecolor="white">
                <v:textbox>
                  <w:txbxContent>
                    <w:p w:rsidR="00FA69B7" w:rsidRDefault="00FA69B7" w:rsidP="00FA69B7">
                      <w:r>
                        <w:t xml:space="preserve">  </w:t>
                      </w:r>
                    </w:p>
                    <w:tbl>
                      <w:tblPr>
                        <w:tblW w:w="0" w:type="auto"/>
                        <w:tblInd w:w="900" w:type="dxa"/>
                        <w:tbl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240"/>
                        <w:gridCol w:w="360"/>
                      </w:tblGrid>
                      <w:tr w:rsidR="00FA69B7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FA69B7" w:rsidRDefault="00FA69B7">
                            <w:pPr>
                              <w:rPr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FA69B7" w:rsidRDefault="00FA69B7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</w:tcPr>
                          <w:p w:rsidR="00FA69B7" w:rsidRDefault="00FA69B7"/>
                        </w:tc>
                      </w:tr>
                    </w:tbl>
                    <w:p w:rsidR="00FA69B7" w:rsidRDefault="00FA69B7" w:rsidP="00FA69B7">
                      <w:pPr>
                        <w:tabs>
                          <w:tab w:val="left" w:pos="1140"/>
                          <w:tab w:val="left" w:pos="1245"/>
                        </w:tabs>
                      </w:pPr>
                      <w:r>
                        <w:tab/>
                      </w:r>
                    </w:p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  <w:p w:rsidR="00FA69B7" w:rsidRDefault="00FA69B7" w:rsidP="00FA69B7"/>
                  </w:txbxContent>
                </v:textbox>
              </v:rect>
            </w:pict>
          </mc:Fallback>
        </mc:AlternateContent>
      </w:r>
    </w:p>
    <w:p w:rsidR="00743784" w:rsidRDefault="00743784" w:rsidP="00FA69B7"/>
    <w:sectPr w:rsidR="0074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736"/>
    <w:multiLevelType w:val="multilevel"/>
    <w:tmpl w:val="D6DC471C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E"/>
    <w:rsid w:val="001A078F"/>
    <w:rsid w:val="00743784"/>
    <w:rsid w:val="009D79FE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22/1b6959f23cc516d0e11ddc2e213ca2dca83560df/" TargetMode="External"/><Relationship Id="rId13" Type="http://schemas.openxmlformats.org/officeDocument/2006/relationships/hyperlink" Target="http://www.consultant.ru/document/cons_doc_LAW_330422/1b6959f23cc516d0e11ddc2e213ca2dca83560df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0422/1b6959f23cc516d0e11ddc2e213ca2dca83560df/" TargetMode="External"/><Relationship Id="rId12" Type="http://schemas.openxmlformats.org/officeDocument/2006/relationships/hyperlink" Target="http://www.consultant.ru/document/cons_doc_LAW_321290/" TargetMode="External"/><Relationship Id="rId17" Type="http://schemas.openxmlformats.org/officeDocument/2006/relationships/hyperlink" Target="http://www.consultant.ru/document/cons_doc_LAW_330422/1b6959f23cc516d0e11ddc2e213ca2dca83560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422/1b6959f23cc516d0e11ddc2e213ca2dca83560d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53/62f7fcd0b8cc9d19412f837aa64d7b7ce0439aab/" TargetMode="External"/><Relationship Id="rId11" Type="http://schemas.openxmlformats.org/officeDocument/2006/relationships/hyperlink" Target="http://www.consultant.ru/document/cons_doc_LAW_330422/1b6959f23cc516d0e11ddc2e213ca2dca83560d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422/1b6959f23cc516d0e11ddc2e213ca2dca83560df/" TargetMode="External"/><Relationship Id="rId10" Type="http://schemas.openxmlformats.org/officeDocument/2006/relationships/hyperlink" Target="http://www.consultant.ru/document/cons_doc_LAW_314917/c82199e55fb848aec54cc9ca7ade234b6ca20da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1662/" TargetMode="External"/><Relationship Id="rId14" Type="http://schemas.openxmlformats.org/officeDocument/2006/relationships/hyperlink" Target="http://www.consultant.ru/document/cons_doc_LAW_286530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2019-10-25T11:52:00Z</dcterms:created>
  <dcterms:modified xsi:type="dcterms:W3CDTF">2019-10-28T04:27:00Z</dcterms:modified>
</cp:coreProperties>
</file>