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AF" w:rsidRDefault="00206DAF" w:rsidP="00E6394E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6DAF" w:rsidRDefault="00206DAF" w:rsidP="00E6394E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6DAF" w:rsidRDefault="00206DAF" w:rsidP="00E6394E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6DAF" w:rsidRPr="00206DAF" w:rsidRDefault="00206DAF" w:rsidP="00206DAF">
      <w:pPr>
        <w:suppressAutoHyphens/>
        <w:spacing w:after="0" w:line="240" w:lineRule="auto"/>
        <w:ind w:left="1260" w:right="-30" w:hanging="1245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206DAF" w:rsidRPr="00206DAF" w:rsidRDefault="00206DAF" w:rsidP="00206D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06DA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06DAF" w:rsidRPr="00206DAF" w:rsidRDefault="00206DAF" w:rsidP="00206D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6DA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</w:p>
    <w:p w:rsidR="00206DAF" w:rsidRPr="00206DAF" w:rsidRDefault="00206DAF" w:rsidP="00206D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6DAF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</w:p>
    <w:p w:rsidR="00206DAF" w:rsidRPr="00206DAF" w:rsidRDefault="00206DAF" w:rsidP="00206D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6DAF">
        <w:rPr>
          <w:rFonts w:ascii="Arial" w:eastAsia="Times New Roman" w:hAnsi="Arial" w:cs="Arial"/>
          <w:b/>
          <w:sz w:val="32"/>
          <w:szCs w:val="32"/>
          <w:lang w:eastAsia="ru-RU"/>
        </w:rPr>
        <w:t>НИКОЛЬСКИЙ СЕЛЬСОВЕТ</w:t>
      </w:r>
    </w:p>
    <w:p w:rsidR="00206DAF" w:rsidRPr="00206DAF" w:rsidRDefault="00206DAF" w:rsidP="00206D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6DAF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206DAF" w:rsidRPr="00206DAF" w:rsidRDefault="00206DAF" w:rsidP="00206D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6DAF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206DAF" w:rsidRPr="00206DAF" w:rsidRDefault="00206DAF" w:rsidP="00206D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06DAF" w:rsidRPr="00206DAF" w:rsidRDefault="00206DAF" w:rsidP="00206D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06DAF" w:rsidRPr="00206DAF" w:rsidRDefault="00206DAF" w:rsidP="00206D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6DA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06DAF" w:rsidRPr="00206DAF" w:rsidRDefault="00206DAF" w:rsidP="00206D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06DAF" w:rsidRPr="00206DAF" w:rsidRDefault="00206DAF" w:rsidP="00206DAF">
      <w:pPr>
        <w:tabs>
          <w:tab w:val="left" w:pos="779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16.05</w:t>
      </w:r>
      <w:r w:rsidRPr="00206DAF">
        <w:rPr>
          <w:rFonts w:ascii="Arial" w:eastAsia="Times New Roman" w:hAnsi="Arial" w:cs="Arial"/>
          <w:b/>
          <w:sz w:val="32"/>
          <w:szCs w:val="32"/>
          <w:lang w:eastAsia="ru-RU"/>
        </w:rPr>
        <w:t>.2019</w:t>
      </w:r>
      <w:r w:rsidRPr="00206DAF"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Pr="00206DAF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206DAF" w:rsidRPr="00206DAF" w:rsidRDefault="00206DAF" w:rsidP="00206D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DAF" w:rsidRPr="00206DAF" w:rsidRDefault="00206DAF" w:rsidP="00206D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DAF" w:rsidRPr="00206DAF" w:rsidRDefault="00206DAF" w:rsidP="00206DAF">
      <w:pPr>
        <w:widowControl w:val="0"/>
        <w:autoSpaceDE w:val="0"/>
        <w:autoSpaceDN w:val="0"/>
        <w:adjustRightInd w:val="0"/>
        <w:spacing w:after="0" w:line="240" w:lineRule="auto"/>
        <w:ind w:right="358"/>
        <w:jc w:val="center"/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eastAsia="ru-RU"/>
        </w:rPr>
      </w:pPr>
      <w:r w:rsidRPr="00206DAF"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eastAsia="ru-RU"/>
        </w:rPr>
        <w:t>« О</w:t>
      </w:r>
      <w:r w:rsidRPr="00206DAF"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eastAsia="ru-RU"/>
        </w:rPr>
        <w:t>б утверждении</w:t>
      </w:r>
      <w:r w:rsidRPr="00206DAF"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eastAsia="ru-RU"/>
        </w:rPr>
        <w:t xml:space="preserve"> Поряд</w:t>
      </w:r>
      <w:r w:rsidRPr="00206DAF"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eastAsia="ru-RU"/>
        </w:rPr>
        <w:t>ка</w:t>
      </w:r>
      <w:r w:rsidRPr="00206DAF"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eastAsia="ru-RU"/>
        </w:rPr>
        <w:t xml:space="preserve"> организации и осуществления муниципального контроля в области торговой деятельности на территории муниципального образования Никольский  сельсовет Оренбургского  района Оренбургской области»</w:t>
      </w:r>
    </w:p>
    <w:p w:rsidR="00206DAF" w:rsidRPr="00206DAF" w:rsidRDefault="00206DAF" w:rsidP="00206DAF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6DAF" w:rsidRDefault="00206DAF" w:rsidP="00E6394E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6DAF" w:rsidRPr="00E6394E" w:rsidRDefault="00206DAF" w:rsidP="00E6394E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744AFF" w:rsidRPr="00744AFF" w:rsidRDefault="00744AFF" w:rsidP="00E6394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proofErr w:type="gramStart"/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статьей 16 Федерального закона от 28 декабря 2009 г. № 381-ФЗ «Об основах государственного регулирования торговой деятельности  в Российской Федерации», Федеральным законом от 26 декабря 2008 г. № 294–ФЗ «О защите прав  юридических лиц и индивидуальных предпринимателей  при осуществлении  государственного контроля (надзора</w:t>
      </w:r>
      <w:proofErr w:type="gramEnd"/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) и муниципального контроля», руководствуясь Уставом муниципального образования Никольский  сельсовет Оренбургского  района Оренбургской области</w:t>
      </w:r>
      <w:r w:rsidRPr="00744AFF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  <w:t>:</w:t>
      </w: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744AFF" w:rsidRPr="00744AFF" w:rsidRDefault="00744AFF" w:rsidP="00744A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1. Утвердить</w:t>
      </w:r>
      <w:r w:rsidRPr="00744AFF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Порядок организации и осуществления муниципального контроля в области торговой деятельности на территории муниципального образования Никольский  сельсовет Оренбургского  района Оренбургской област</w:t>
      </w:r>
      <w:r w:rsidR="00E6394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и согласно приложению.</w:t>
      </w:r>
    </w:p>
    <w:p w:rsidR="00744AFF" w:rsidRPr="00744AFF" w:rsidRDefault="00744AFF" w:rsidP="00744A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2</w:t>
      </w:r>
      <w:r w:rsidRPr="00744AFF">
        <w:rPr>
          <w:rFonts w:ascii="Arial" w:eastAsia="Times New Roman" w:hAnsi="Arial" w:cs="Arial"/>
          <w:snapToGrid w:val="0"/>
          <w:color w:val="808080" w:themeColor="background1" w:themeShade="80"/>
          <w:sz w:val="24"/>
          <w:szCs w:val="24"/>
          <w:lang w:eastAsia="ru-RU"/>
        </w:rPr>
        <w:t xml:space="preserve">.   </w:t>
      </w:r>
      <w:proofErr w:type="gramStart"/>
      <w:r w:rsidRPr="00744AFF">
        <w:rPr>
          <w:rFonts w:ascii="Arial" w:eastAsia="Times New Roman" w:hAnsi="Arial" w:cs="Arial"/>
          <w:snapToGrid w:val="0"/>
          <w:color w:val="808080" w:themeColor="background1" w:themeShade="80"/>
          <w:sz w:val="24"/>
          <w:szCs w:val="24"/>
          <w:lang w:eastAsia="ru-RU"/>
        </w:rPr>
        <w:t>Контроль за</w:t>
      </w:r>
      <w:proofErr w:type="gramEnd"/>
      <w:r w:rsidRPr="00744AFF">
        <w:rPr>
          <w:rFonts w:ascii="Arial" w:eastAsia="Times New Roman" w:hAnsi="Arial" w:cs="Arial"/>
          <w:snapToGrid w:val="0"/>
          <w:color w:val="808080" w:themeColor="background1" w:themeShade="8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44AFF" w:rsidRPr="00744AFF" w:rsidRDefault="00744AFF" w:rsidP="00744AFF">
      <w:pPr>
        <w:widowControl w:val="0"/>
        <w:tabs>
          <w:tab w:val="left" w:pos="666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snapToGrid w:val="0"/>
          <w:color w:val="808080" w:themeColor="background1" w:themeShade="80"/>
          <w:sz w:val="24"/>
          <w:szCs w:val="24"/>
          <w:lang w:eastAsia="ru-RU"/>
        </w:rPr>
        <w:t>3</w:t>
      </w: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. Настоящее постановление вступает в силу после  официального обнародования.</w:t>
      </w:r>
    </w:p>
    <w:p w:rsidR="00744AFF" w:rsidRPr="00744AFF" w:rsidRDefault="00744AFF" w:rsidP="00744AFF">
      <w:pPr>
        <w:widowControl w:val="0"/>
        <w:tabs>
          <w:tab w:val="left" w:pos="666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744AFF" w:rsidRPr="00744AFF" w:rsidRDefault="00744AFF" w:rsidP="00744AFF">
      <w:pPr>
        <w:widowControl w:val="0"/>
        <w:tabs>
          <w:tab w:val="left" w:pos="666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Глава муниципального образования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Председатель Совета депутатов                                                   О.И.Кузьмина                                </w:t>
      </w:r>
    </w:p>
    <w:p w:rsidR="00744AFF" w:rsidRPr="00744AFF" w:rsidRDefault="00744AFF" w:rsidP="00744AFF">
      <w:pPr>
        <w:spacing w:after="0" w:line="240" w:lineRule="auto"/>
        <w:ind w:right="4905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E6394E" w:rsidRDefault="00E6394E" w:rsidP="00E6394E">
      <w:pPr>
        <w:shd w:val="clear" w:color="auto" w:fill="FFFFFF"/>
        <w:spacing w:before="293" w:after="0" w:line="226" w:lineRule="exact"/>
        <w:ind w:right="29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6394E" w:rsidRPr="00D11A87" w:rsidRDefault="00E6394E" w:rsidP="00E6394E">
      <w:pPr>
        <w:shd w:val="clear" w:color="auto" w:fill="FFFFFF"/>
        <w:spacing w:before="293" w:after="0" w:line="226" w:lineRule="exact"/>
        <w:ind w:right="29"/>
        <w:jc w:val="right"/>
        <w:rPr>
          <w:rFonts w:ascii="Arial" w:eastAsia="Times New Roman" w:hAnsi="Arial" w:cs="Arial"/>
          <w:b/>
          <w:bCs/>
          <w:color w:val="000000"/>
          <w:spacing w:val="-3"/>
          <w:sz w:val="32"/>
          <w:szCs w:val="32"/>
          <w:lang w:eastAsia="ru-RU"/>
        </w:rPr>
      </w:pPr>
      <w:r w:rsidRPr="00D11A87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</w:t>
      </w:r>
    </w:p>
    <w:p w:rsidR="00E6394E" w:rsidRPr="00D11A87" w:rsidRDefault="00E6394E" w:rsidP="00E63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1A87">
        <w:rPr>
          <w:rFonts w:ascii="Arial" w:eastAsia="Times New Roman" w:hAnsi="Arial" w:cs="Arial"/>
          <w:b/>
          <w:sz w:val="32"/>
          <w:szCs w:val="32"/>
          <w:lang w:eastAsia="ru-RU"/>
        </w:rPr>
        <w:t>к постановлению администрации</w:t>
      </w:r>
    </w:p>
    <w:p w:rsidR="00E6394E" w:rsidRPr="00D11A87" w:rsidRDefault="00E6394E" w:rsidP="00E63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1A8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E6394E" w:rsidRPr="00D11A87" w:rsidRDefault="00E6394E" w:rsidP="00E63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1A8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Никольский  сельсовет</w:t>
      </w:r>
    </w:p>
    <w:p w:rsidR="00E6394E" w:rsidRPr="00D11A87" w:rsidRDefault="00E6394E" w:rsidP="00E63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1A87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E6394E" w:rsidRPr="00D11A87" w:rsidRDefault="00E6394E" w:rsidP="00E63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1A87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E6394E" w:rsidRPr="00D11A87" w:rsidRDefault="00E6394E" w:rsidP="00E63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1A8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16.05</w:t>
      </w:r>
      <w:r w:rsidRPr="00D11A8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.2019 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Pr="00D11A87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E6394E" w:rsidRDefault="00E6394E" w:rsidP="00744AFF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E6394E" w:rsidRDefault="00E6394E" w:rsidP="00744AFF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744AFF" w:rsidRPr="00744AFF" w:rsidRDefault="00744AFF" w:rsidP="00E6394E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ru-RU"/>
        </w:rPr>
      </w:pPr>
    </w:p>
    <w:p w:rsidR="00744AFF" w:rsidRPr="00E6394E" w:rsidRDefault="00744AFF" w:rsidP="00744A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626" w:themeColor="text1" w:themeTint="D9"/>
          <w:sz w:val="28"/>
          <w:szCs w:val="28"/>
          <w:lang w:eastAsia="ru-RU"/>
        </w:rPr>
      </w:pPr>
      <w:r w:rsidRPr="00E6394E">
        <w:rPr>
          <w:rFonts w:ascii="Arial" w:eastAsia="Times New Roman" w:hAnsi="Arial" w:cs="Arial"/>
          <w:b/>
          <w:bCs/>
          <w:color w:val="262626" w:themeColor="text1" w:themeTint="D9"/>
          <w:sz w:val="28"/>
          <w:szCs w:val="28"/>
          <w:lang w:eastAsia="ru-RU"/>
        </w:rPr>
        <w:t>ПОРЯДОК</w:t>
      </w:r>
    </w:p>
    <w:p w:rsidR="00744AFF" w:rsidRPr="00E6394E" w:rsidRDefault="00744AFF" w:rsidP="00744A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626" w:themeColor="text1" w:themeTint="D9"/>
          <w:sz w:val="28"/>
          <w:szCs w:val="28"/>
          <w:lang w:eastAsia="ru-RU"/>
        </w:rPr>
      </w:pPr>
      <w:r w:rsidRPr="00E6394E">
        <w:rPr>
          <w:rFonts w:ascii="Arial" w:eastAsia="Times New Roman" w:hAnsi="Arial" w:cs="Arial"/>
          <w:b/>
          <w:bCs/>
          <w:color w:val="262626" w:themeColor="text1" w:themeTint="D9"/>
          <w:sz w:val="28"/>
          <w:szCs w:val="28"/>
          <w:lang w:eastAsia="ru-RU"/>
        </w:rPr>
        <w:t>организации и осуществления муниципального контроля в области торговой деятельности на территории муниципального образования Никольский  сельсовет Оренбургского  района Оренбургской области</w:t>
      </w:r>
    </w:p>
    <w:p w:rsidR="00744AFF" w:rsidRPr="00744AFF" w:rsidRDefault="00744AFF" w:rsidP="00744A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</w:pPr>
    </w:p>
    <w:p w:rsidR="00744AFF" w:rsidRPr="00744AFF" w:rsidRDefault="00744AFF" w:rsidP="00744A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</w:pPr>
    </w:p>
    <w:p w:rsidR="00744AFF" w:rsidRPr="00744AFF" w:rsidRDefault="00744AFF" w:rsidP="00744A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  <w:t>1.Общие положения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</w:t>
      </w:r>
      <w:proofErr w:type="gramStart"/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Настоящий Порядок организации и осуществления муниципального контроля в области торговой деятельности на территории муниципального образования Никольский сельсовет  Оренбургского  района Оренбургской области (далее по тексту - Порядок)  разработан в соответствии с Федеральным законом от 06 октября 2003г. № 131-ФЗ «Об общих принципах организации местного самоуправления в Российской Федерации», Федеральным законом от 28.12.2009 № 381 –ФЗ «Об основах государственного регулирования торговой деятельности в Российской Федерации</w:t>
      </w:r>
      <w:proofErr w:type="gramEnd"/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», </w:t>
      </w:r>
      <w:proofErr w:type="gramStart"/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Федеральным законом от  26.12.2008 № 294 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по тексту – Федеральный закон № 294-ФЗ», Уставом муниципального образования Никольский сельсовет и регламентирует организацию и осуществление муниципального контроля в области торговой деятельности на территории муниципального образования Никольский сельсовет.</w:t>
      </w:r>
      <w:proofErr w:type="gramEnd"/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</w:t>
      </w:r>
      <w:proofErr w:type="gramStart"/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Целью муниципального контроля в области торговой деятельности на территории муниципального образования Никольский сельсовет (далее по тексту – муниципальный контроль в области торговой деятельности),  осуществляемого в соответствии с настоящим Порядком, является обеспечение соблюдения юридическими лицами и индивидуальными предпринимателями требований, установленных  муниципальными правовыми актами муниципального образования Никольский сельсовет, а также требований, установленных федеральными законами, законами Оренбургской области, в случаях, предусмотренных действующим законодательством, в</w:t>
      </w:r>
      <w:proofErr w:type="gramEnd"/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области торговой деятельности на территории Никольского сельсовета.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</w:t>
      </w:r>
      <w:proofErr w:type="gramStart"/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Основными задачами муниципального контроля в области торговой деятельности осуществляемого в соответствии с настоящим Порядком, является предупреждение, выявление и пресечение нарушений юридическими лицами, индивидуальными предпринимателями требований, установленных  муниципальными правовыми актами муниципального образования Никольский сельсовет, а также требований, установленных федеральными законами, </w:t>
      </w: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lastRenderedPageBreak/>
        <w:t>законами Оренбургской области в области торговой деятельности, в случаях, предусмотренных действующим законодательством (далее по тексту – требования), в области торговой деятельности на</w:t>
      </w:r>
      <w:proofErr w:type="gramEnd"/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территории муниципального образования Никольский сельсовет.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Предметом муниципального контроля в области торговой деятельности является проверка соблюдения юридическими лицами и индивидуальными предпринимателями требований в области осуществления торговой деятельности на территории Никольского сельсовета.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Муниципальный контроль в области торговой деятельности осуществляется от имени Никольского сельсовета должностным лицом, уполномоченным муниципальным правовым актом на осуществление муниципального контроля в области торговой деятельности (далее – орган муниципального контроля), в соответствии с федеральными законами, законами Оренбургской области, нормативными правовыми актами, настоящим Порядком.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При организации и осуществлении муниципального контроля в области торговой деятельности орган муниципального контроля вправе взаимодействовать с органами  Прокуратуры, внутренних дел,  экспертными организациями.</w:t>
      </w:r>
    </w:p>
    <w:p w:rsidR="00744AFF" w:rsidRPr="00744AFF" w:rsidRDefault="00744AFF" w:rsidP="00744A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  <w:t>2. Должностные лица органа муниципального контроля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2.1.   Муниципальный контроль в области торговой деятельности осуществляют должностные лица органа муниципального контроля.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2.2.    Перечень должностных лиц органа муниципального контроля, уполномоченных на осуществление муниципального контроля в области торговой деятельности, устанавливается постановлением главы муниципального образования.</w:t>
      </w:r>
    </w:p>
    <w:p w:rsidR="00744AFF" w:rsidRPr="00744AFF" w:rsidRDefault="00744AFF" w:rsidP="00744A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  <w:t xml:space="preserve">     3. Обязанности должностных лиц органа</w:t>
      </w:r>
    </w:p>
    <w:p w:rsidR="00744AFF" w:rsidRPr="00744AFF" w:rsidRDefault="00744AFF" w:rsidP="00744A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  <w:t xml:space="preserve"> муниципального контроля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3.1 Должностные лица органа муниципального контроля </w:t>
      </w:r>
      <w:proofErr w:type="gramStart"/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несут  обязанности</w:t>
      </w:r>
      <w:proofErr w:type="gramEnd"/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, установленные статьей 18 Федерального закона № 294-ФЗ, предусмотренные для должностных лиц муниципального контроля.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</w:rPr>
        <w:t>3.2 Должностными лицами в ходе исполнения муниципальной функции в зависимости от целей, задач и предмета проверок могут быть безвозмездно истребованы от юридических лиц, индивидуальных предпринимателей следующие документы: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</w:rPr>
        <w:t xml:space="preserve">- свидетельство о государственной регистрации физического лица </w:t>
      </w:r>
      <w:proofErr w:type="gramStart"/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</w:rPr>
        <w:t>в</w:t>
      </w:r>
      <w:proofErr w:type="gramEnd"/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</w:rPr>
      </w:pPr>
      <w:proofErr w:type="gramStart"/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</w:rPr>
        <w:t>качестве</w:t>
      </w:r>
      <w:proofErr w:type="gramEnd"/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</w:rPr>
        <w:t xml:space="preserve"> индивидуального предпринимателя;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</w:rPr>
        <w:t>- свидетельство о государственной регистрации юридического лица;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</w:rPr>
        <w:t>- сведения о лицах, осуществляющих торговую деятельность;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</w:rPr>
        <w:t>- сведения о порядке и условиях осуществления торговой деятельности;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</w:rPr>
        <w:t>- документы, подтверждающие полномочия руководителя или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</w:rPr>
        <w:t>представителя юридического лица, индивидуального предпринимателя или его представителя;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</w:rPr>
        <w:t>- правоустанавливающие документы на земельный участок, на котором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</w:rPr>
        <w:t>размещен торговый объект.</w:t>
      </w:r>
    </w:p>
    <w:p w:rsidR="00744AFF" w:rsidRPr="00744AFF" w:rsidRDefault="00744AFF" w:rsidP="00744A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  <w:t>4. Порядок организации и проведения проверок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4.1 Муниципальный контроль в отношении юридических лиц и индивидуальных предпринимателей осуществляется в форме плановых и внеплановых документарных и (или) выездных проверок соблюдения обязательных требований и требований, установленных муниципальными правовыми актами (далее – проверки).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4.2 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и настоящим Положением.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lastRenderedPageBreak/>
        <w:t xml:space="preserve">    4.3. Проверка проводится на основании постановления о проведении проверки в отношении юридических лиц и индивидуальных предпринимателей по форме, установленной федеральным органом исполнительной власти, уполномоченным Правительством Российской Федерации, в порядке, предусмотренным статьей 14 Федерального закона № 294 ФЗ.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4.4. Проверка может проводиться только должностным лицом или должностными лицами, которые указаны в постановлении о проведении проверки.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4.5. Сроки проведения проверок в отношении юридических лиц и индивидуальных предпринимателей установлены статьей 13 Федерального закона № 294-ФЗ.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4.6. Меры, принимаемые должностными лицами органа муниципального контроля в отношении фактов нарушений, выявленных при проведении проверки, установленные статьей 17 Федерального закона № 294-ФЗ.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4.7. Плановые проверки юридических лиц и индивидуальных предпринимателей проводятся не чаще чем один раз в три года, если иное не предусмотрено частями 9 и 9.3 статьи 9 Федерального закона № 294 ФЗ. 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4.8. Плановые проверки проводятся на основании разрабатываемых и утверждаемых органами государственного контроля (надзора), органами муниципального контроля в соответствии с их полномочиями ежегодных планов. Плановая проверка проводится в форме документарной проверки и (или) выездной проверки в порядке, установленном соответственно статьями 11 и 12 Федерального закона № 294-ФЗ.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4.9. Внеплановые проверки юридических лиц и индивидуальных предпринимателей проводятся по основаниям, указанным в части 2 статьи 10 Федерального закона, и в порядке, установленным Федеральным законом.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Предварительная проверка поступившей информации в отношении лица, допустившего нарушение обязательных требований, при отсутствии достоверной информации о таком лице, осуществляется в соответствии с ч. 3.2. - 3.4. ст.10  Федерального закона.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Особенности рассмотрения обращений и заявлений, не позволяющих установить лицо, обратившееся в орган муниципального контроля, а также обращений и заявлений, не содержащих сведений о фактах, указанных в </w:t>
      </w:r>
      <w:hyperlink r:id="rId5" w:history="1">
        <w:r w:rsidRPr="00744AFF">
          <w:rPr>
            <w:rStyle w:val="a3"/>
            <w:rFonts w:ascii="Arial" w:eastAsia="Times New Roman" w:hAnsi="Arial" w:cs="Arial"/>
            <w:color w:val="808080" w:themeColor="background1" w:themeShade="80"/>
            <w:sz w:val="24"/>
            <w:szCs w:val="24"/>
            <w:lang w:eastAsia="ru-RU"/>
          </w:rPr>
          <w:t>подпунктах "а"</w:t>
        </w:r>
      </w:hyperlink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и </w:t>
      </w:r>
      <w:hyperlink r:id="rId6" w:history="1">
        <w:r w:rsidRPr="00744AFF">
          <w:rPr>
            <w:rStyle w:val="a3"/>
            <w:rFonts w:ascii="Arial" w:eastAsia="Times New Roman" w:hAnsi="Arial" w:cs="Arial"/>
            <w:color w:val="808080" w:themeColor="background1" w:themeShade="80"/>
            <w:sz w:val="24"/>
            <w:szCs w:val="24"/>
            <w:lang w:eastAsia="ru-RU"/>
          </w:rPr>
          <w:t>"б" пункта 2 части 2 статьи 10</w:t>
        </w:r>
      </w:hyperlink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указанного Федерального закона, установлены </w:t>
      </w:r>
      <w:hyperlink r:id="rId7" w:history="1">
        <w:r w:rsidRPr="00744AFF">
          <w:rPr>
            <w:rStyle w:val="a3"/>
            <w:rFonts w:ascii="Arial" w:eastAsia="Times New Roman" w:hAnsi="Arial" w:cs="Arial"/>
            <w:color w:val="808080" w:themeColor="background1" w:themeShade="80"/>
            <w:sz w:val="24"/>
            <w:szCs w:val="24"/>
            <w:lang w:eastAsia="ru-RU"/>
          </w:rPr>
          <w:t>частью 3 статьи 10</w:t>
        </w:r>
      </w:hyperlink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Федерального закона.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При рассмотрении обращений и заявлений, информации о фактах, указанных в </w:t>
      </w:r>
      <w:hyperlink r:id="rId8" w:history="1">
        <w:r w:rsidRPr="00744AFF">
          <w:rPr>
            <w:rStyle w:val="a3"/>
            <w:rFonts w:ascii="Arial" w:eastAsia="Times New Roman" w:hAnsi="Arial" w:cs="Arial"/>
            <w:color w:val="808080" w:themeColor="background1" w:themeShade="80"/>
            <w:sz w:val="24"/>
            <w:szCs w:val="24"/>
            <w:lang w:eastAsia="ru-RU"/>
          </w:rPr>
          <w:t>части 2</w:t>
        </w:r>
      </w:hyperlink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статьи 10 Федерального закона,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</w:t>
      </w:r>
      <w:proofErr w:type="gramStart"/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.».</w:t>
      </w:r>
      <w:proofErr w:type="gramEnd"/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4.10. Выездные проверки проводятся в случае, если при документарной проверке не представляется возможным: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1) удостоверится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(надзора), органа муниципального контроля, документах юридического лица, индивидуального предпринимателя;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2) 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мероприятия по муниципальному контролю.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lastRenderedPageBreak/>
        <w:t>Проверки проводятся с участием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представителя.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4.11.О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позднее</w:t>
      </w:r>
      <w:proofErr w:type="gramEnd"/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основания</w:t>
      </w:r>
      <w:proofErr w:type="gramEnd"/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проведения которой указаны в </w:t>
      </w:r>
      <w:hyperlink r:id="rId9" w:history="1">
        <w:r w:rsidRPr="00744AFF">
          <w:rPr>
            <w:rStyle w:val="a3"/>
            <w:rFonts w:ascii="Arial" w:eastAsia="Times New Roman" w:hAnsi="Arial" w:cs="Arial"/>
            <w:color w:val="808080" w:themeColor="background1" w:themeShade="80"/>
            <w:sz w:val="24"/>
            <w:szCs w:val="24"/>
            <w:lang w:eastAsia="ru-RU"/>
          </w:rPr>
          <w:t>пункте 2 части 2</w:t>
        </w:r>
      </w:hyperlink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настоящей статьи,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проверки.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проверки.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В случае</w:t>
      </w:r>
      <w:proofErr w:type="gramStart"/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,</w:t>
      </w:r>
      <w:proofErr w:type="gramEnd"/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</w:t>
      </w: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lastRenderedPageBreak/>
        <w:t>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В случае</w:t>
      </w:r>
      <w:proofErr w:type="gramStart"/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,</w:t>
      </w:r>
      <w:proofErr w:type="gramEnd"/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Порядок проведения документарной проверки (как плановой, так и внеплановой) осуществляется в соответствии со </w:t>
      </w:r>
      <w:hyperlink r:id="rId10" w:history="1">
        <w:r w:rsidRPr="00744AFF">
          <w:rPr>
            <w:rStyle w:val="a3"/>
            <w:rFonts w:ascii="Arial" w:eastAsia="Times New Roman" w:hAnsi="Arial" w:cs="Arial"/>
            <w:color w:val="808080" w:themeColor="background1" w:themeShade="80"/>
            <w:sz w:val="24"/>
            <w:szCs w:val="24"/>
            <w:lang w:eastAsia="ru-RU"/>
          </w:rPr>
          <w:t>статьей 11,</w:t>
        </w:r>
      </w:hyperlink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статьей 14 указанного Федерального закона, и проводится по месту нахождения органа муниципального контроля</w:t>
      </w:r>
      <w:proofErr w:type="gramStart"/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.».</w:t>
      </w:r>
      <w:proofErr w:type="gramEnd"/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4.12. 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В 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В случае</w:t>
      </w:r>
      <w:proofErr w:type="gramStart"/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,</w:t>
      </w:r>
      <w:proofErr w:type="gramEnd"/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контроля».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744AFF" w:rsidRPr="00744AFF" w:rsidRDefault="00744AFF" w:rsidP="00744A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  <w:t xml:space="preserve">        5. Права юридических лиц и индивидуальных предпринимателей при проведении проверки</w:t>
      </w:r>
    </w:p>
    <w:p w:rsidR="00744AFF" w:rsidRPr="00744AFF" w:rsidRDefault="00744AFF" w:rsidP="00744A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</w:pP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5.1. Права юридических лиц и индивидуальных предпринимателей при проведении проверки регламентируются статьей 21 Федерального закона № 294 –ФЗ.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5.2. Юридические лица и индивидуальные предприниматели имеют право на возмещение вреда, причиненного вследствие неправомерных действий должностных лиц органа муниципального контроля.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744AFF" w:rsidRPr="00744AFF" w:rsidRDefault="00744AFF" w:rsidP="00744A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  <w:t>6. Ответственность должностных лиц органа</w:t>
      </w:r>
    </w:p>
    <w:p w:rsidR="00744AFF" w:rsidRPr="00744AFF" w:rsidRDefault="00744AFF" w:rsidP="00744A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  <w:t>муниципального контроля при осуществлении</w:t>
      </w:r>
    </w:p>
    <w:p w:rsidR="00744AFF" w:rsidRPr="00744AFF" w:rsidRDefault="00744AFF" w:rsidP="00744A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  <w:t>муниципального контроля в области торговой деятельности</w:t>
      </w:r>
    </w:p>
    <w:p w:rsidR="00744AFF" w:rsidRPr="00744AFF" w:rsidRDefault="00744AFF" w:rsidP="00744A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</w:pP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44AF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Должностные лица органа муниципального контроля при осуществлении муниципального контроля в области торговой деятельности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по осуществлению муниципального контроля в области торговой деятельности.</w:t>
      </w: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</w:pP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744AFF" w:rsidRPr="00744AFF" w:rsidRDefault="00744AFF" w:rsidP="00744AF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744AFF" w:rsidRPr="00744AFF" w:rsidRDefault="00744AFF" w:rsidP="00744AFF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744AFF" w:rsidRPr="00744AFF" w:rsidRDefault="00744AFF" w:rsidP="00744AFF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DB6E24" w:rsidRPr="00744AFF" w:rsidRDefault="00DB6E24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sectPr w:rsidR="00DB6E24" w:rsidRPr="0074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FC"/>
    <w:rsid w:val="00206DAF"/>
    <w:rsid w:val="006F22FC"/>
    <w:rsid w:val="00744AFF"/>
    <w:rsid w:val="00DB6E24"/>
    <w:rsid w:val="00E6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A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338E8A344BB49F2F6C06F2B399AD2B30B7BCA3B1AE6E5445499191C1FFB414D6550F94E0EF69829P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CF664AE87721EB8A81B69AF3E9DB5B1A484BEB5006B157A2B96984933C811C8DCD8C967hCC3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DCF664AE87721EB8A81B69AF3E9DB5B1A484BEB5006B157A2B96984933C811C8DCD8C860hCC5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FDCF664AE87721EB8A81B69AF3E9DB5B1A484BEB5006B157A2B96984933C811C8DCD8C860hCC4H" TargetMode="External"/><Relationship Id="rId10" Type="http://schemas.openxmlformats.org/officeDocument/2006/relationships/hyperlink" Target="consultantplus://offline/ref=EF3B5B0EDB89E9D17124F10000A7744C31A015068B8C99DA1055F3D614A10846AF52EF2BAAA17273C23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D9E400779151F7BC103CC88F91D0D025BE84D688F7FB7E9629C036FA03E847182D24B7EF297AF0s2y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2815</Words>
  <Characters>16049</Characters>
  <Application>Microsoft Office Word</Application>
  <DocSecurity>0</DocSecurity>
  <Lines>133</Lines>
  <Paragraphs>37</Paragraphs>
  <ScaleCrop>false</ScaleCrop>
  <Company/>
  <LinksUpToDate>false</LinksUpToDate>
  <CharactersWithSpaces>18827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4</cp:revision>
  <dcterms:created xsi:type="dcterms:W3CDTF">2019-05-28T12:54:00Z</dcterms:created>
  <dcterms:modified xsi:type="dcterms:W3CDTF">2019-05-29T04:54:00Z</dcterms:modified>
</cp:coreProperties>
</file>