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1" w:rsidRPr="001B5C32" w:rsidRDefault="00421131" w:rsidP="0042113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C32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 </w:t>
      </w:r>
    </w:p>
    <w:p w:rsidR="001B5C32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 xml:space="preserve">в целях эксплуатации существующего  линейного   объекта газоснабжения </w:t>
      </w:r>
    </w:p>
    <w:p w:rsidR="00421131" w:rsidRPr="007A4581" w:rsidRDefault="00421131" w:rsidP="001B5C32">
      <w:pPr>
        <w:spacing w:after="0" w:line="252" w:lineRule="auto"/>
        <w:ind w:right="-284"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C32">
        <w:rPr>
          <w:rFonts w:ascii="Times New Roman" w:hAnsi="Times New Roman" w:cs="Times New Roman"/>
          <w:bCs/>
          <w:sz w:val="28"/>
          <w:szCs w:val="28"/>
        </w:rPr>
        <w:t>и его неотъемлемых</w:t>
      </w:r>
      <w:r w:rsidR="001B5C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32">
        <w:rPr>
          <w:rFonts w:ascii="Times New Roman" w:hAnsi="Times New Roman" w:cs="Times New Roman"/>
          <w:bCs/>
          <w:sz w:val="28"/>
          <w:szCs w:val="28"/>
        </w:rPr>
        <w:t xml:space="preserve">технологических частей </w:t>
      </w:r>
      <w:r w:rsidR="007A458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7A4581" w:rsidRPr="007A45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3857" w:rsidRPr="007A4581">
        <w:rPr>
          <w:rFonts w:ascii="Times New Roman" w:hAnsi="Times New Roman" w:cs="Times New Roman"/>
          <w:b/>
          <w:bCs/>
          <w:sz w:val="28"/>
          <w:szCs w:val="28"/>
        </w:rPr>
        <w:t xml:space="preserve">Газопровод-шлейф. </w:t>
      </w:r>
      <w:proofErr w:type="spellStart"/>
      <w:r w:rsidR="00CE3857" w:rsidRPr="007A4581">
        <w:rPr>
          <w:rFonts w:ascii="Times New Roman" w:hAnsi="Times New Roman" w:cs="Times New Roman"/>
          <w:b/>
          <w:bCs/>
          <w:sz w:val="28"/>
          <w:szCs w:val="28"/>
        </w:rPr>
        <w:t>Метанолопровод</w:t>
      </w:r>
      <w:proofErr w:type="spellEnd"/>
      <w:r w:rsidR="00CE3857" w:rsidRPr="007A4581">
        <w:rPr>
          <w:rFonts w:ascii="Times New Roman" w:hAnsi="Times New Roman" w:cs="Times New Roman"/>
          <w:b/>
          <w:bCs/>
          <w:sz w:val="28"/>
          <w:szCs w:val="28"/>
        </w:rPr>
        <w:t xml:space="preserve"> и газопровод  очищенного газа</w:t>
      </w:r>
      <w:r w:rsidR="007A4581" w:rsidRPr="007A45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1131" w:rsidRPr="001B5C32" w:rsidRDefault="00421131" w:rsidP="00421131">
      <w:pPr>
        <w:spacing w:after="0"/>
        <w:ind w:left="-851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подано</w:t>
      </w:r>
    </w:p>
    <w:p w:rsidR="00C72B2A" w:rsidRPr="007A4581" w:rsidRDefault="007660E9">
      <w:pPr>
        <w:spacing w:after="0"/>
        <w:ind w:right="-284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A4581">
        <w:rPr>
          <w:rFonts w:ascii="Times New Roman" w:hAnsi="Times New Roman" w:cs="Times New Roman"/>
          <w:sz w:val="24"/>
          <w:szCs w:val="24"/>
        </w:rPr>
        <w:t>ходатайство об установлении публичного сервитута</w:t>
      </w:r>
    </w:p>
    <w:p w:rsidR="00C72B2A" w:rsidRPr="001B5C32" w:rsidRDefault="00C72B2A">
      <w:pPr>
        <w:spacing w:after="0"/>
        <w:ind w:left="284" w:right="-284"/>
        <w:jc w:val="center"/>
        <w:rPr>
          <w:rFonts w:ascii="Times New Roman" w:hAnsi="Times New Roman" w:cs="Times New Roman"/>
          <w:sz w:val="20"/>
          <w:szCs w:val="17"/>
        </w:rPr>
      </w:pPr>
    </w:p>
    <w:tbl>
      <w:tblPr>
        <w:tblpPr w:leftFromText="180" w:rightFromText="180" w:vertAnchor="text" w:tblpX="-318" w:tblpY="1"/>
        <w:tblOverlap w:val="never"/>
        <w:tblW w:w="974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65"/>
        <w:gridCol w:w="2399"/>
        <w:gridCol w:w="6583"/>
      </w:tblGrid>
      <w:tr w:rsidR="00C72B2A" w:rsidRPr="001B5C32" w:rsidTr="000B677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B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  <w:p w:rsidR="00C72B2A" w:rsidRPr="001B5C32" w:rsidRDefault="00C72B2A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1B5C32" w:rsidRDefault="007660E9" w:rsidP="000224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72B2A" w:rsidTr="000B6775">
        <w:trPr>
          <w:trHeight w:val="52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CE3857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56:21:0000000:80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ЛЭП ВЛ-6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в районе УКПГ-1.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, р-н Оренбургский</w:t>
            </w:r>
          </w:p>
        </w:tc>
      </w:tr>
      <w:tr w:rsidR="00C72B2A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7660E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7E3" w:rsidRPr="001B5C32">
              <w:rPr>
                <w:rFonts w:ascii="Times New Roman" w:hAnsi="Times New Roman" w:cs="Times New Roman"/>
                <w:sz w:val="24"/>
                <w:szCs w:val="24"/>
              </w:rPr>
              <w:t>56:21:0000000:55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7660E9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автопроезды</w:t>
            </w:r>
            <w:proofErr w:type="spellEnd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к скважинам УКПГ-1. Почтовый адрес ориентира: Оренбур</w:t>
            </w:r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="004C68AC"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72B2A" w:rsidTr="000B6775">
        <w:trPr>
          <w:trHeight w:val="5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C07E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56:21:0000000:68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скважины и 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бары УКПГ-2.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C07E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56:21:0000000:69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автопроезды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к скважинам УКПГ-2. Почтовый адрес ориентира: Оренбур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0C07E3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Default="000C07E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Pr="001B5C32" w:rsidRDefault="000C07E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56:21:0000000:56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E3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скважины и 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бары УКПГ-3.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Оренбургский.</w:t>
            </w:r>
          </w:p>
        </w:tc>
      </w:tr>
      <w:tr w:rsidR="000C07E3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Default="000C07E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07E3" w:rsidRPr="001B5C32" w:rsidRDefault="000C07E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56:21:0000000:57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E3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Автопроезды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к скважинам УКПГ-3. Почтовый адрес ориентира: обл. 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Оре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бургская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0C07E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56:21:0000000:75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ЛЭП ВЛ-6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в районе УКПГ-3.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Оренбургский.</w:t>
            </w:r>
          </w:p>
        </w:tc>
      </w:tr>
      <w:tr w:rsidR="00C72B2A" w:rsidTr="000B6775">
        <w:trPr>
          <w:trHeight w:val="59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56:21:0000000:373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им. Кирова</w:t>
            </w:r>
          </w:p>
        </w:tc>
      </w:tr>
      <w:tr w:rsidR="00C72B2A" w:rsidTr="000B6775">
        <w:trPr>
          <w:trHeight w:val="63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56:21:0000000:82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ЛЭП ВЛ-6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в районе УКПГ-2.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72B2A" w:rsidTr="000B6775">
        <w:trPr>
          <w:trHeight w:val="6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2B2A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56:21:0000000:364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B2A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земельный участок расположен в южной части Оренбургского районного квартала 56:21:0</w:t>
            </w:r>
          </w:p>
        </w:tc>
      </w:tr>
      <w:tr w:rsidR="00C72B2A" w:rsidTr="000B6775">
        <w:trPr>
          <w:trHeight w:val="831"/>
        </w:trPr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72B2A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56:21:0000000:365</w:t>
            </w:r>
          </w:p>
        </w:tc>
        <w:tc>
          <w:tcPr>
            <w:tcW w:w="6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B2A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C72B2A" w:rsidTr="000B6775">
        <w:trPr>
          <w:trHeight w:val="9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Default="00C72B2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56:21:0000000:367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2A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56:21:0000000:79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4C68AC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ЛЭП ВЛ-6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в районе УКПГ-7.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56:21:0000000:485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Красноуральский, с. им.9 Января, ул. Центральная, дом 6</w:t>
            </w:r>
            <w:proofErr w:type="gramEnd"/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B33859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56:21:0000000:6252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B33859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Южноуральский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56:21:0000000:463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780D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Оренбургский, АО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56:21:0000000:63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104C2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автопроезды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к скважинам УКПГ-7. Почтовый адрес ориентира: обл. 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Оре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бургская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Оренбургский.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80D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56:21:0000000:380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780D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с/с Никольский, с. Никольское, ул. Обухова, дом 1-а</w:t>
            </w:r>
            <w:proofErr w:type="gramEnd"/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A637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56:21:0000000:78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104C2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 ЛЭП ВЛ-6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в районе УКПГ-12. Почтовый адрес ориентира: Оренбургская </w:t>
            </w:r>
            <w:proofErr w:type="spellStart"/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A637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56:21:0000000:396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A6373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Никольский,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A6373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56:21:0000000:59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104C2" w:rsidP="007A4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Местоположение установлено относительно ориентира, ра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с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положенного в границах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участка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.О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риентир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автопроезды</w:t>
            </w:r>
            <w:proofErr w:type="spell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 xml:space="preserve"> к скважинам УКПГ-6. Почтовый адрес ориентира: обл. </w:t>
            </w:r>
            <w:proofErr w:type="gramStart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Оре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бургская</w:t>
            </w:r>
            <w:proofErr w:type="gramEnd"/>
            <w:r w:rsidRPr="007A4581">
              <w:rPr>
                <w:rFonts w:ascii="TimesNewRomanPSMT" w:hAnsi="TimesNewRomanPSMT" w:cs="TimesNewRomanPSMT"/>
                <w:sz w:val="24"/>
                <w:szCs w:val="24"/>
              </w:rPr>
              <w:t>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04D42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56:21:0000000:14429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04D42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западной части Оренбургского районного кадастрового квартала 56:21:0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56:21:0000000:14633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E17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Нижнепавловский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56:21:0000000:14727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E17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Нижнепавловский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56:21:0000000:14756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E17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с/с, земельный участок расположен в западной части 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Оренбургского районного кадастрового квартала 56:21:0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56:21:0000000:15295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E177B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Никольский сельсовет, земельный участок расположен в западной части районного кадастрового квартала 56:21:0. На земельном участке расположена автомобильная дорога Никольское - карьер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E177B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</w:t>
            </w:r>
            <w:r w:rsidR="007B2457" w:rsidRPr="001B5C32">
              <w:rPr>
                <w:rFonts w:ascii="Times New Roman" w:hAnsi="Times New Roman" w:cs="Times New Roman"/>
                <w:sz w:val="24"/>
                <w:szCs w:val="24"/>
              </w:rPr>
              <w:t>15333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7B2457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область, Оренбургский район, Никольский сельсовет, на земельном участке расположена ВЛ-0,4-10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Д-9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35/10кВ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69E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Default="00AE469E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Pr="001B5C32" w:rsidRDefault="00AE469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56:21:0000000:15346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9E" w:rsidRPr="007A4581" w:rsidRDefault="00AE469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область, Оренбургский район, Никольский сельсовет, на земельном участке расположена ВЛ-10-0,4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Д-10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7B2457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56:21:0000000:15395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7B2457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Красноуральский сельсовет, на земельном участке расположено передаточное устройство ВЛ-10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Ян-5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E469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</w:t>
            </w:r>
            <w:r w:rsidR="002B76DA" w:rsidRPr="001B5C32">
              <w:rPr>
                <w:rFonts w:ascii="Times New Roman" w:hAnsi="Times New Roman" w:cs="Times New Roman"/>
                <w:sz w:val="24"/>
                <w:szCs w:val="24"/>
              </w:rPr>
              <w:t>6851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расположена ВЛ-10-0,4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Д-7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56:21:0000000:16955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с/с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ВЛ-110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/СТ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- П/СТ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Красный Холм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56:21:0000000:17535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1B5C32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76DA"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ренбургская </w:t>
            </w:r>
            <w:proofErr w:type="spellStart"/>
            <w:proofErr w:type="gramStart"/>
            <w:r w:rsidR="002B76DA"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2B76DA" w:rsidRPr="007A4581">
              <w:rPr>
                <w:rFonts w:ascii="Times New Roman" w:hAnsi="Times New Roman" w:cs="Times New Roman"/>
                <w:sz w:val="24"/>
                <w:szCs w:val="24"/>
              </w:rPr>
              <w:t>, Оренбургский р-н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56:21:0000000:18278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с/с, земельный участок расположен в центральной части кадастрового квартала 56:21:0000000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56:21:0000000:18429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Красноуральский сельсовет,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. 9 Января, земельный участок расположен в кварталах 56:21:1209001, 56.621:1209002, 56:21:1203001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56:21:0000000:18962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Никольский сельсовет, земельный участок расположен в западной части кадастрового квартала 56:21:0000000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56:21:0000000:19246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2B76D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56:21:0000000:19553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2B76D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Земельный участок расположен в западной части кадастрового квартала 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56:21:0000000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56:21:0000000:19580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56:21:0000000:19597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56:21:0000000:19723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56:21:0000000:19938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56:21:0000000:20327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район, АО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Павловское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56:21:0000000:20469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56:21:0000000:20804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Никольский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A05FDE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56:21:0000000:21469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A05FDE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C2BB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56:21:0000000:21486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C2BB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р-н,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/с Нижнепавловский,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Земельный участок расположен в западной части кадастрового квартала 56:21:0000000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C2BB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56:21:0000000:21559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C2BB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Нижнепавловский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C2BB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56:21:0000000:21642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C2BB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на земельном участке расположена ВЛ-35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от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до УКПГ-6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EC2BB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56:21:0000000:4985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C2BB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с/с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Западного коридоров, на земельном участке расположены площадные объекты (задвижки,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узлы, крановые площадки, свечи, станции катодной защиты (СКЗ), трансформаторная подстанция (ТП), узел приема поршня (УПП)) трубопроводов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proofErr w:type="gramEnd"/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8F070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56:21:0000000:4989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EC2BB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Никольский, на земельном участке расположены площадные объекты (задвижки,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узлы) трубопроводов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Западного 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коридоров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8F070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56:21:0000000:4991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8F070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Нижнепавловский, на земельном участке расположены площадные объекты (задвижки,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КИКи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крановые площадки, крановые узлы, свечи, УЗП, УПП, факел) трубопроводов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Дедуровского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Западного коридоров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8F070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56:21:0000000:6469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8F0700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расположена ЛЭП-6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к буровым ГП-9, внешнее энергоснабжение ГП-9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8F0700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56:21:0602001:778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расположена ВЛ-0,4-10кВ Д-9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Дедуровская-10/35кВ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F654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56:21:0602001:779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на земельном участке расположена ВЛ-10-0,4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Д-10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110/35/10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F654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56:21:0602001:798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F654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56:21:0602006:11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в границах кадастрового квартала 56:21:0602006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F654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56:21:0605004:175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Земельный участок расположен в северо-восточной части кадастрового квартала 56:21:0605004</w:t>
            </w:r>
          </w:p>
        </w:tc>
      </w:tr>
      <w:tr w:rsidR="00C84AF3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Default="00C84AF3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1B5C32" w:rsidRDefault="006F654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56:21:1203001:18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F3" w:rsidRPr="007A4581" w:rsidRDefault="006F654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на земельном участке расположена скважина газовая, эксплуатационная № 9008 и проезд к ней, амбар скважины газовой, эксплуатационной № 9008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56:21:1203001:19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обл., р-н Оренбургский, на земельном участке расположена скважина газовая, эксплуатационная № 777 и проезд к ней, амбар скважины газовой, эксплуатационной № 777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56:21:1203001:273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сельсовет, земельный участок расположен в центральной части кадастрового квартала 56:21:1203001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56:21:1203001:278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Красноуральский сельсовет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56:21:1203001:47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обл., Оренбургский р-н,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 Красноуральский.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56:21:1209001:1148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56:21:1209001:596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 эксплуатационная № 9005 и проезд к ней, амбар скважины газовой, эксплуатационной</w:t>
            </w:r>
            <w:r w:rsidR="001B5C32"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№ 9005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56:21:1209001:633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Оренбургский, на земельном участке расположена скважина газовая, эксплуатационная №7028 и проезд к ней, амбар скважины газовой, эксплуатационной №7028</w:t>
            </w:r>
          </w:p>
        </w:tc>
      </w:tr>
      <w:tr w:rsidR="00E1545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Default="00E1545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56:21:1209002:174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5C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Оренбургский, Красноуральский сельсовет</w:t>
            </w:r>
          </w:p>
        </w:tc>
      </w:tr>
      <w:tr w:rsidR="008E216B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6B" w:rsidRDefault="008E216B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6B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56:21:1209002:176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6B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 Красноуральский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6E331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56:21:1502002:1043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6E331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Оренбургсктй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сельсовет Нижнепавловский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56:21:1502002:1060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Нижнепавловский сельсовет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56:21:1502002:788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4A553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Нижнепавловский сельсовет, земельный участок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расположенв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северо-восточной части кадастрового квартала 56:21:1502002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56:21:1507003:146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Оренбургский р-н, Нижнепавловский с/с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56:21:1507003:155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Оренбургский, с/с Нижнепавловский, земельный участок расположен в западной части кадастрового квартала 56:21:1507003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56:21:1507003:156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р-н Оренбургский, с/с Нижнепавловский, земельный участок расположен в западной части кадастрового квартала 56:21:1507003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56:21:1507003:157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р-н Оренбургский,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/с Нижнепавловский</w:t>
            </w:r>
          </w:p>
        </w:tc>
      </w:tr>
      <w:tr w:rsidR="00463960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Default="00463960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1B5C32" w:rsidRDefault="009027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56:21:1602001:511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0" w:rsidRPr="007A4581" w:rsidRDefault="009027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Никольский сельсовет, земельный участок расположен в юго-западной части кадастрового квартала 56:21:1602001</w:t>
            </w:r>
          </w:p>
        </w:tc>
      </w:tr>
      <w:tr w:rsidR="009027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Default="009027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1B5C32" w:rsidRDefault="00D00632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56:21:1602001:517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7A4581" w:rsidRDefault="00D00632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район, Никольский сельсовет, с. Никольское, земельный участок расположен в центральной части кадастрового квартала 56:21:1602001</w:t>
            </w:r>
          </w:p>
        </w:tc>
      </w:tr>
      <w:tr w:rsidR="009027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Default="009027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1B5C32" w:rsidRDefault="00656E58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56:21:1603002:257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7A4581" w:rsidRDefault="00656E5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</w:t>
            </w:r>
          </w:p>
        </w:tc>
      </w:tr>
      <w:tr w:rsidR="009027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Default="009027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1B5C32" w:rsidRDefault="00656E58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56:21:1603002:258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7A4581" w:rsidRDefault="00656E5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район</w:t>
            </w:r>
          </w:p>
        </w:tc>
      </w:tr>
      <w:tr w:rsidR="009027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Default="009027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1B5C32" w:rsidRDefault="00656E58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56:21:1604002:5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7A4581" w:rsidRDefault="00656E5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Никольский сельсовет, на земельном участке расположена ВЛ-10-0,4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Д-10 ПС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Дедуровская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- 110/35/10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27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Default="009027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1B5C32" w:rsidRDefault="00656E58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56:21:1604003:16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A5" w:rsidRPr="007A4581" w:rsidRDefault="00656E5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Никольский с/с</w:t>
            </w:r>
          </w:p>
        </w:tc>
      </w:tr>
      <w:tr w:rsidR="00656E58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58" w:rsidRDefault="00656E58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58" w:rsidRPr="001B5C32" w:rsidRDefault="00656E58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56:21:0000000:17672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58" w:rsidRPr="007A4581" w:rsidRDefault="00656E58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Оренбургский район, Никольский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56:21:0000000:17933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Оренбургский административный район, Оренбургское лесничество, Павловское участковое лесничество, квартал 89 части выделов 1,2,3,7,11,13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56:21:0000000:18216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р-н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56:21:0000000:52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р-н Оренбургский с/с Никольский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56:21:0000000:532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56:21:0602001:1026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муниципальный район, сельское поселение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56:21:0602001:631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56:21:0602001:796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56:21:0602005:4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с/с, земельный участок расположен в центральной части кадастрового квартала 56:21:0602005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56:21:0602006:1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56:21:0605001:91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северной части кадастрового квартала 56:21:0605001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7D10A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56:21:0605003:388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7D10A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сельское поселение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56:21:0605004:164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56:21:06 05 004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56:21:0605004:174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Оренбургский район,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Земельный участок расположен в северо-восточной части кадастрового квартала 56:21:0605004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56:21:1203001:43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56:21:1209002:173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район, Красноуральский сельсовет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56:21:1209002:2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Красноуральский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56:21:1502002:748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Оренбургский, на земельном участке расположена опора № 128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-110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отпайка на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Дедуровскую</w:t>
            </w:r>
            <w:proofErr w:type="spellEnd"/>
            <w:r w:rsidR="007A45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10A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Default="007D10A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1B5C32" w:rsidRDefault="00B167C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56:21:1505009:272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5" w:rsidRPr="007A4581" w:rsidRDefault="00B167C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Оренбургский р-н, Нижнепавловский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56:21:1505009</w:t>
            </w:r>
          </w:p>
        </w:tc>
      </w:tr>
      <w:tr w:rsidR="000224CA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A" w:rsidRDefault="000224CA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A" w:rsidRPr="001B5C32" w:rsidRDefault="000224CA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56:21:1507004:2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CA" w:rsidRPr="007A4581" w:rsidRDefault="000224CA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56:21:1602001:542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52264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Никольский сельсовет, земельный участок расположен в центральной части кадастрового квартала 56:21:1602001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56:21:1602001:543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52264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р-н Оренбургский, Никольский сельсовет, земельный участок расположен в центральной части кадастрового квартала 56:21:1602001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56:21:1603002:1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52264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56:21:1604001:34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52264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Оренбургский район, Никольский сельсовет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56:21:1604002:6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61367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Оренбургский район, Никольский сельсовет</w:t>
            </w:r>
          </w:p>
        </w:tc>
      </w:tr>
      <w:tr w:rsidR="00522641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Default="00522641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1B5C32" w:rsidRDefault="00522641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56:21:1604002:7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41" w:rsidRPr="007A4581" w:rsidRDefault="00522641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 Оренбургский район, Никольский сельсовет</w:t>
            </w:r>
          </w:p>
        </w:tc>
      </w:tr>
      <w:tr w:rsidR="0061367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Default="0061367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1B5C32" w:rsidRDefault="0061367C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56:21:1604003:2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7A4581" w:rsidRDefault="0061367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с/с Никольский, ИП </w:t>
            </w:r>
            <w:proofErr w:type="spell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Арнестов</w:t>
            </w:r>
            <w:proofErr w:type="spell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В.А., земельный участок расположен в восточной части кадастрового квартала 56:21:1604003</w:t>
            </w:r>
          </w:p>
        </w:tc>
      </w:tr>
      <w:tr w:rsidR="0061367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Default="0061367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1B5C32" w:rsidRDefault="0061367C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56:21:1604010:1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7A4581" w:rsidRDefault="0061367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61367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Default="0061367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1B5C32" w:rsidRDefault="0061367C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56:21:1604010:101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7A4581" w:rsidRDefault="0061367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 обл., Оренбургский р-н, Никольский с/с, земельный участок расположен в юго-восточной части кадастрового квартала 56:21:1604010</w:t>
            </w:r>
          </w:p>
        </w:tc>
      </w:tr>
      <w:tr w:rsidR="0061367C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Default="0061367C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1B5C32" w:rsidRDefault="0061367C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56:21:1604010:2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7C" w:rsidRPr="007A4581" w:rsidRDefault="0061367C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8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A4581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Никольский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56:21:1505010:318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сельское поселение Нижнепавловский сельсовет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56:21:0000000:21554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Оренбургский р-н, с/с Нижнепавловский, земельный участок расположен в западной части кадастрового квартала 56:21:0000000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56:21:0602001:436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, р-н Оренбургский, подъездная автодорога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56:21:0602001:716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proofErr w:type="gramStart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, р-н Оренбургский, </w:t>
            </w:r>
            <w:proofErr w:type="spellStart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Дедуровский</w:t>
            </w:r>
            <w:proofErr w:type="spellEnd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земельный участок расположен в восточной части кадастрового квартала 56:21:0602001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56:21:1505001:1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  <w:tr w:rsidR="00B36195" w:rsidTr="000B6775">
        <w:trPr>
          <w:trHeight w:val="6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Default="00B36195" w:rsidP="000224CA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1B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56:21:1505002:1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95" w:rsidRPr="001B5C32" w:rsidRDefault="00B36195" w:rsidP="007A4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C32">
              <w:rPr>
                <w:rFonts w:ascii="Times New Roman" w:hAnsi="Times New Roman" w:cs="Times New Roman"/>
                <w:sz w:val="24"/>
                <w:szCs w:val="24"/>
              </w:rPr>
              <w:t xml:space="preserve">обл. </w:t>
            </w:r>
            <w:proofErr w:type="gramStart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1B5C32">
              <w:rPr>
                <w:rFonts w:ascii="Times New Roman" w:hAnsi="Times New Roman" w:cs="Times New Roman"/>
                <w:sz w:val="24"/>
                <w:szCs w:val="24"/>
              </w:rPr>
              <w:t>, р-н Оренбургский, с/с Нижнепавловский</w:t>
            </w:r>
          </w:p>
        </w:tc>
      </w:tr>
    </w:tbl>
    <w:tbl>
      <w:tblPr>
        <w:tblW w:w="10362" w:type="dxa"/>
        <w:tblInd w:w="-62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606"/>
        <w:gridCol w:w="7756"/>
      </w:tblGrid>
      <w:tr w:rsidR="00C84AF3" w:rsidTr="004B5C65">
        <w:trPr>
          <w:trHeight w:val="103"/>
        </w:trPr>
        <w:tc>
          <w:tcPr>
            <w:tcW w:w="2606" w:type="dxa"/>
            <w:vAlign w:val="center"/>
          </w:tcPr>
          <w:p w:rsidR="00C84AF3" w:rsidRDefault="00C84AF3" w:rsidP="009A32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</w:p>
        </w:tc>
        <w:tc>
          <w:tcPr>
            <w:tcW w:w="7756" w:type="dxa"/>
            <w:vAlign w:val="center"/>
          </w:tcPr>
          <w:p w:rsidR="00C84AF3" w:rsidRDefault="00C84AF3" w:rsidP="009A32B1">
            <w:pPr>
              <w:widowControl w:val="0"/>
              <w:spacing w:after="0" w:line="240" w:lineRule="auto"/>
              <w:jc w:val="both"/>
            </w:pPr>
          </w:p>
        </w:tc>
      </w:tr>
    </w:tbl>
    <w:p w:rsidR="004B5C65" w:rsidRDefault="004B5C65" w:rsidP="004B5C65">
      <w:pPr>
        <w:spacing w:after="0"/>
        <w:ind w:left="-680" w:right="17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Местоположение земельных участков: Российская Федерация, Оренбургская область, Оренбургский муниципальный район, сельское поселение 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</w:t>
      </w:r>
      <w:proofErr w:type="spellStart"/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 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Нижнепавловский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</w:t>
      </w:r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сельское поселение Красноуральский сельсовет, сельское поселение </w:t>
      </w:r>
      <w:proofErr w:type="spellStart"/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Южноуральский</w:t>
      </w:r>
      <w:proofErr w:type="spellEnd"/>
      <w:r w:rsidR="00647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сельсовет, сельское поселение Экспериментальный сельсовет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72B2A" w:rsidRDefault="004B5C65" w:rsidP="004B5C65">
      <w:pPr>
        <w:shd w:val="clear" w:color="auto" w:fill="FFFFFF"/>
        <w:ind w:left="-680" w:right="227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Заинтересованные лица могут ознакомиться с поступившим ходатайством об установлении публичного сервитута и прилагаемым к нему графическим описанием местоположения границ публичного сервитута, а также подать заявления об учете прав на земельные участки (с приложением копий документов, подтверждающих эти права) в течение 15 дней со дня опубликования данного сообщения в администрации муниципального образования Оренбургский район Оренбургской области, адрес: 460018, Оренбургская область, г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Оренбург, ул. Степана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Разина, д. 209, отдел архитектуры и градостроительства управления по имуществу и градостроительству,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4, время приема: вторник, четверг с 9.00 до 13.00 часов, </w:t>
      </w:r>
      <w:r w:rsidR="006D516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тел. 8(3532) </w:t>
      </w:r>
      <w:r w:rsidR="007A45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72-80-37</w:t>
      </w:r>
    </w:p>
    <w:p w:rsidR="00C72B2A" w:rsidRPr="00421131" w:rsidRDefault="007660E9">
      <w:pPr>
        <w:spacing w:after="0"/>
        <w:jc w:val="both"/>
        <w:rPr>
          <w:i/>
        </w:rPr>
      </w:pPr>
      <w:r w:rsidRPr="0042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sectPr w:rsidR="00C72B2A" w:rsidRPr="00421131">
      <w:pgSz w:w="11906" w:h="16838"/>
      <w:pgMar w:top="851" w:right="424" w:bottom="709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1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BD0"/>
    <w:multiLevelType w:val="multilevel"/>
    <w:tmpl w:val="4B58DD94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5E29D5"/>
    <w:multiLevelType w:val="multilevel"/>
    <w:tmpl w:val="21E81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2A"/>
    <w:rsid w:val="000224CA"/>
    <w:rsid w:val="00046F9D"/>
    <w:rsid w:val="000572C1"/>
    <w:rsid w:val="000B6775"/>
    <w:rsid w:val="000C07E3"/>
    <w:rsid w:val="000E774C"/>
    <w:rsid w:val="00125392"/>
    <w:rsid w:val="00143BF9"/>
    <w:rsid w:val="001837D2"/>
    <w:rsid w:val="001B5C32"/>
    <w:rsid w:val="002104C2"/>
    <w:rsid w:val="00262474"/>
    <w:rsid w:val="002B09D5"/>
    <w:rsid w:val="002B76DA"/>
    <w:rsid w:val="003179B4"/>
    <w:rsid w:val="003A009B"/>
    <w:rsid w:val="003B3F69"/>
    <w:rsid w:val="003F0E51"/>
    <w:rsid w:val="00421131"/>
    <w:rsid w:val="00455301"/>
    <w:rsid w:val="00463960"/>
    <w:rsid w:val="0048540C"/>
    <w:rsid w:val="004A5535"/>
    <w:rsid w:val="004B5C65"/>
    <w:rsid w:val="004C6418"/>
    <w:rsid w:val="004C68AC"/>
    <w:rsid w:val="00522641"/>
    <w:rsid w:val="00604D42"/>
    <w:rsid w:val="0061367C"/>
    <w:rsid w:val="006470EC"/>
    <w:rsid w:val="00656E58"/>
    <w:rsid w:val="00664240"/>
    <w:rsid w:val="006D5164"/>
    <w:rsid w:val="006E0347"/>
    <w:rsid w:val="006E3311"/>
    <w:rsid w:val="006F6545"/>
    <w:rsid w:val="007657B0"/>
    <w:rsid w:val="007660E9"/>
    <w:rsid w:val="00780D7B"/>
    <w:rsid w:val="007A4581"/>
    <w:rsid w:val="007B2457"/>
    <w:rsid w:val="007B6DFF"/>
    <w:rsid w:val="007D10A5"/>
    <w:rsid w:val="007D5AD5"/>
    <w:rsid w:val="008513B0"/>
    <w:rsid w:val="008745DC"/>
    <w:rsid w:val="00896677"/>
    <w:rsid w:val="008E216B"/>
    <w:rsid w:val="008F0700"/>
    <w:rsid w:val="009027A5"/>
    <w:rsid w:val="00910137"/>
    <w:rsid w:val="00934F06"/>
    <w:rsid w:val="009618C9"/>
    <w:rsid w:val="009A32B1"/>
    <w:rsid w:val="009B4E3E"/>
    <w:rsid w:val="00A05FDE"/>
    <w:rsid w:val="00A71610"/>
    <w:rsid w:val="00AB32D9"/>
    <w:rsid w:val="00AE1C5B"/>
    <w:rsid w:val="00AE469E"/>
    <w:rsid w:val="00B167C5"/>
    <w:rsid w:val="00B33859"/>
    <w:rsid w:val="00B36195"/>
    <w:rsid w:val="00C72B2A"/>
    <w:rsid w:val="00C84AF3"/>
    <w:rsid w:val="00CE3857"/>
    <w:rsid w:val="00CE5202"/>
    <w:rsid w:val="00D00632"/>
    <w:rsid w:val="00D7763B"/>
    <w:rsid w:val="00DD4D9C"/>
    <w:rsid w:val="00DE420A"/>
    <w:rsid w:val="00E1545C"/>
    <w:rsid w:val="00E2451D"/>
    <w:rsid w:val="00E862D6"/>
    <w:rsid w:val="00EA6373"/>
    <w:rsid w:val="00EC2BB0"/>
    <w:rsid w:val="00EE177B"/>
    <w:rsid w:val="00EF08FB"/>
    <w:rsid w:val="00F26746"/>
    <w:rsid w:val="00F533C4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B1F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6B1FEC"/>
    <w:rPr>
      <w:color w:val="8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B1FEC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qFormat/>
    <w:rsid w:val="00AC44A7"/>
    <w:rPr>
      <w:rFonts w:ascii="Arial" w:eastAsia="Times New Roman" w:hAnsi="Arial" w:cs="Times New Roman"/>
      <w:sz w:val="20"/>
      <w:szCs w:val="20"/>
    </w:rPr>
  </w:style>
  <w:style w:type="character" w:customStyle="1" w:styleId="fontstyle01">
    <w:name w:val="fontstyle01"/>
    <w:basedOn w:val="a0"/>
    <w:qFormat/>
    <w:rsid w:val="003D601F"/>
    <w:rPr>
      <w:rFonts w:ascii="TimesNewRomanPSMT" w:hAnsi="TimesNewRomanPSMT"/>
      <w:b w:val="0"/>
      <w:bCs w:val="0"/>
      <w:i w:val="0"/>
      <w:iCs w:val="0"/>
      <w:color w:val="000000"/>
      <w:sz w:val="16"/>
      <w:szCs w:val="16"/>
    </w:rPr>
  </w:style>
  <w:style w:type="character" w:customStyle="1" w:styleId="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8">
    <w:name w:val="Текст Знак"/>
    <w:qFormat/>
    <w:rPr>
      <w:rFonts w:ascii="Calibri" w:eastAsia="Times New Roman" w:hAnsi="Calibri" w:cs="Calibri"/>
      <w:sz w:val="21"/>
      <w:szCs w:val="21"/>
    </w:rPr>
  </w:style>
  <w:style w:type="character" w:customStyle="1" w:styleId="2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character" w:styleId="a9">
    <w:name w:val="Hyperlink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AC44A7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Nirmala UI"/>
    </w:rPr>
  </w:style>
  <w:style w:type="paragraph" w:styleId="af">
    <w:name w:val="List Paragraph"/>
    <w:basedOn w:val="a"/>
    <w:qFormat/>
    <w:pPr>
      <w:spacing w:line="252" w:lineRule="auto"/>
      <w:ind w:left="720"/>
      <w:contextualSpacing/>
    </w:pPr>
    <w:rPr>
      <w:rFonts w:ascii="Calibri" w:eastAsia="Calibri" w:hAnsi="Calibri" w:cs="Calibri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6B1FEC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1">
    <w:name w:val="Обычный1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qFormat/>
    <w:rsid w:val="006B1FE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0">
    <w:name w:val="Обычный2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qFormat/>
    <w:rsid w:val="006B1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B1FE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qFormat/>
    <w:rsid w:val="006B1FEC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004F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rsid w:val="00004F95"/>
    <w:pPr>
      <w:shd w:val="clear" w:color="000000" w:fill="00B0F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004F95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qFormat/>
    <w:rsid w:val="00004F95"/>
    <w:pPr>
      <w:pBdr>
        <w:top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rsid w:val="00004F95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qFormat/>
    <w:rsid w:val="00004F95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qFormat/>
    <w:rsid w:val="00004F95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rsid w:val="00004F9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rsid w:val="00004F95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</w:style>
  <w:style w:type="paragraph" w:styleId="af5">
    <w:name w:val="No Spacing"/>
    <w:uiPriority w:val="1"/>
    <w:qFormat/>
    <w:rsid w:val="00786344"/>
  </w:style>
  <w:style w:type="paragraph" w:customStyle="1" w:styleId="Default">
    <w:name w:val="Default"/>
    <w:qFormat/>
    <w:rsid w:val="00520DD0"/>
    <w:rPr>
      <w:rFonts w:ascii="Arial" w:eastAsia="Calibri" w:hAnsi="Arial" w:cs="Arial"/>
      <w:color w:val="000000"/>
      <w:sz w:val="24"/>
      <w:szCs w:val="24"/>
    </w:rPr>
  </w:style>
  <w:style w:type="paragraph" w:customStyle="1" w:styleId="CharChar">
    <w:name w:val="Знак Char Char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6B1FEC"/>
  </w:style>
  <w:style w:type="table" w:styleId="af8">
    <w:name w:val="Table Grid"/>
    <w:basedOn w:val="a1"/>
    <w:uiPriority w:val="59"/>
    <w:rsid w:val="006B1FE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D8C3-EDCE-46B6-A116-8076F8A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Кайп Екатерина Юрьевна</cp:lastModifiedBy>
  <cp:revision>4</cp:revision>
  <cp:lastPrinted>2024-08-14T11:52:00Z</cp:lastPrinted>
  <dcterms:created xsi:type="dcterms:W3CDTF">2024-09-20T05:17:00Z</dcterms:created>
  <dcterms:modified xsi:type="dcterms:W3CDTF">2024-09-20T07:40:00Z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