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9D7574" w:rsidTr="00937B03">
        <w:trPr>
          <w:trHeight w:hRule="exact" w:val="3807"/>
        </w:trPr>
        <w:tc>
          <w:tcPr>
            <w:tcW w:w="4391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574" w:rsidTr="00937B03">
        <w:trPr>
          <w:trHeight w:val="429"/>
        </w:trPr>
        <w:tc>
          <w:tcPr>
            <w:tcW w:w="4391" w:type="dxa"/>
            <w:hideMark/>
          </w:tcPr>
          <w:p w:rsidR="009D7574" w:rsidRDefault="00E26E7A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09.04.2026   № 27</w:t>
            </w:r>
            <w:bookmarkStart w:id="0" w:name="_GoBack"/>
            <w:bookmarkEnd w:id="0"/>
          </w:p>
        </w:tc>
        <w:tc>
          <w:tcPr>
            <w:tcW w:w="431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D7574" w:rsidTr="00937B03">
        <w:trPr>
          <w:trHeight w:val="695"/>
        </w:trPr>
        <w:tc>
          <w:tcPr>
            <w:tcW w:w="4391" w:type="dxa"/>
            <w:hideMark/>
          </w:tcPr>
          <w:p w:rsidR="009D7574" w:rsidRPr="00425F93" w:rsidRDefault="009D7574" w:rsidP="00937B03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</w:t>
            </w:r>
            <w:r>
              <w:rPr>
                <w:sz w:val="28"/>
                <w:szCs w:val="28"/>
              </w:rPr>
              <w:t>урора Оренбургского района от 23.03.2026 № 07-01-2026-205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</w:t>
            </w:r>
            <w:r>
              <w:rPr>
                <w:sz w:val="28"/>
                <w:szCs w:val="28"/>
              </w:rPr>
              <w:t>вания Никольский сельсовет от 16.05.2019 № 126</w:t>
            </w:r>
            <w:r w:rsidRPr="00425F93">
              <w:rPr>
                <w:sz w:val="28"/>
                <w:szCs w:val="28"/>
              </w:rPr>
              <w:t xml:space="preserve"> «Об утверждени</w:t>
            </w:r>
            <w:r>
              <w:rPr>
                <w:sz w:val="28"/>
                <w:szCs w:val="28"/>
              </w:rPr>
              <w:t>и Положения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</w:t>
            </w:r>
            <w:r w:rsidRPr="00425F93">
              <w:rPr>
                <w:sz w:val="28"/>
                <w:szCs w:val="28"/>
              </w:rPr>
              <w:t>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A5B148" wp14:editId="608EE96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D7574" w:rsidRDefault="009D7574" w:rsidP="00937B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D7574" w:rsidRDefault="009D7574" w:rsidP="009D7574">
      <w:pPr>
        <w:tabs>
          <w:tab w:val="left" w:pos="720"/>
        </w:tabs>
        <w:jc w:val="both"/>
        <w:rPr>
          <w:sz w:val="28"/>
          <w:szCs w:val="28"/>
        </w:rPr>
      </w:pPr>
    </w:p>
    <w:p w:rsidR="009D7574" w:rsidRDefault="009D7574" w:rsidP="009D7574">
      <w:pPr>
        <w:tabs>
          <w:tab w:val="left" w:pos="720"/>
        </w:tabs>
        <w:jc w:val="both"/>
        <w:rPr>
          <w:sz w:val="28"/>
          <w:szCs w:val="28"/>
        </w:rPr>
      </w:pPr>
    </w:p>
    <w:p w:rsidR="009D7574" w:rsidRDefault="009D7574" w:rsidP="009D7574">
      <w:pPr>
        <w:tabs>
          <w:tab w:val="left" w:pos="720"/>
        </w:tabs>
        <w:jc w:val="both"/>
        <w:rPr>
          <w:sz w:val="28"/>
          <w:szCs w:val="28"/>
        </w:rPr>
      </w:pPr>
    </w:p>
    <w:p w:rsidR="009D7574" w:rsidRDefault="009D7574" w:rsidP="009D7574">
      <w:pPr>
        <w:pStyle w:val="a3"/>
        <w:suppressAutoHyphens/>
        <w:ind w:firstLine="720"/>
        <w:jc w:val="both"/>
      </w:pPr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23.03.2026 № 07-01-2026-205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16.05.2019 № 126</w:t>
      </w:r>
      <w:r w:rsidRPr="006E5954">
        <w:rPr>
          <w:rFonts w:ascii="Times New Roman" w:hAnsi="Times New Roman" w:cs="Times New Roman"/>
          <w:sz w:val="28"/>
          <w:szCs w:val="28"/>
        </w:rPr>
        <w:t xml:space="preserve"> </w:t>
      </w:r>
      <w:r w:rsidRPr="009D7574">
        <w:rPr>
          <w:rFonts w:ascii="Times New Roman" w:hAnsi="Times New Roman" w:cs="Times New Roman"/>
          <w:sz w:val="28"/>
          <w:szCs w:val="28"/>
        </w:rPr>
        <w:t>«Об утверждении Положения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области»</w:t>
      </w:r>
      <w:r w:rsidRPr="007D43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D7574" w:rsidRPr="00425F93" w:rsidRDefault="009D7574" w:rsidP="009D75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от </w:t>
      </w:r>
      <w:r>
        <w:rPr>
          <w:sz w:val="28"/>
          <w:szCs w:val="28"/>
        </w:rPr>
        <w:t>16.05.2019 № 126</w:t>
      </w:r>
      <w:r w:rsidRPr="006E5954">
        <w:rPr>
          <w:sz w:val="28"/>
          <w:szCs w:val="28"/>
        </w:rPr>
        <w:t xml:space="preserve"> </w:t>
      </w:r>
      <w:r w:rsidRPr="00425F93">
        <w:rPr>
          <w:sz w:val="28"/>
          <w:szCs w:val="28"/>
        </w:rPr>
        <w:t>«Об утверждени</w:t>
      </w:r>
      <w:r>
        <w:rPr>
          <w:sz w:val="28"/>
          <w:szCs w:val="28"/>
        </w:rPr>
        <w:t>и Положения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</w:t>
      </w:r>
      <w:r w:rsidRPr="00425F93">
        <w:rPr>
          <w:sz w:val="28"/>
          <w:szCs w:val="28"/>
        </w:rPr>
        <w:t>».</w:t>
      </w:r>
    </w:p>
    <w:p w:rsidR="009D7574" w:rsidRPr="00425F93" w:rsidRDefault="009D7574" w:rsidP="009D75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lastRenderedPageBreak/>
        <w:t>2. 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«О внесении изменений в решение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</w:t>
      </w:r>
      <w:r>
        <w:rPr>
          <w:sz w:val="28"/>
          <w:szCs w:val="28"/>
        </w:rPr>
        <w:t>ургской области от 16.05.2019 № 126</w:t>
      </w:r>
      <w:r w:rsidRPr="006E5954">
        <w:rPr>
          <w:sz w:val="28"/>
          <w:szCs w:val="28"/>
        </w:rPr>
        <w:t xml:space="preserve"> </w:t>
      </w:r>
      <w:r w:rsidRPr="00425F93">
        <w:rPr>
          <w:sz w:val="28"/>
          <w:szCs w:val="28"/>
        </w:rPr>
        <w:t>«Об утверждени</w:t>
      </w:r>
      <w:r>
        <w:rPr>
          <w:sz w:val="28"/>
          <w:szCs w:val="28"/>
        </w:rPr>
        <w:t>и Положения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</w:t>
      </w:r>
      <w:r w:rsidRPr="00425F93">
        <w:rPr>
          <w:sz w:val="28"/>
          <w:szCs w:val="28"/>
        </w:rPr>
        <w:t>».</w:t>
      </w:r>
    </w:p>
    <w:p w:rsidR="009D7574" w:rsidRPr="00425F93" w:rsidRDefault="009D7574" w:rsidP="009D757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9D7574" w:rsidRDefault="009D7574" w:rsidP="009D7574">
      <w:pPr>
        <w:widowControl w:val="0"/>
        <w:suppressAutoHyphens/>
        <w:ind w:firstLine="720"/>
        <w:jc w:val="both"/>
        <w:rPr>
          <w:szCs w:val="28"/>
        </w:rPr>
      </w:pPr>
    </w:p>
    <w:p w:rsidR="009D7574" w:rsidRDefault="009D7574" w:rsidP="009D7574">
      <w:pPr>
        <w:widowControl w:val="0"/>
        <w:suppressAutoHyphens/>
        <w:ind w:firstLine="720"/>
        <w:jc w:val="both"/>
        <w:rPr>
          <w:szCs w:val="28"/>
        </w:rPr>
      </w:pPr>
    </w:p>
    <w:p w:rsidR="009D7574" w:rsidRPr="0085356D" w:rsidRDefault="009D7574" w:rsidP="009D757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9D7574" w:rsidRPr="0085356D" w:rsidRDefault="009D7574" w:rsidP="009D757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D7574" w:rsidRPr="0085356D" w:rsidRDefault="009D7574" w:rsidP="009D757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Д.П. Ширяев</w:t>
      </w: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rPr>
          <w:sz w:val="28"/>
          <w:szCs w:val="28"/>
        </w:rPr>
      </w:pPr>
    </w:p>
    <w:p w:rsidR="009D7574" w:rsidRDefault="009D7574" w:rsidP="009D7574">
      <w:pPr>
        <w:jc w:val="both"/>
      </w:pPr>
    </w:p>
    <w:p w:rsidR="009D7574" w:rsidRDefault="009D7574" w:rsidP="009D7574"/>
    <w:p w:rsidR="009D7574" w:rsidRDefault="009D7574" w:rsidP="009D7574"/>
    <w:p w:rsidR="009D7574" w:rsidRDefault="009D7574" w:rsidP="009D7574"/>
    <w:p w:rsidR="009D7574" w:rsidRDefault="009D7574" w:rsidP="009D7574"/>
    <w:p w:rsidR="009D7574" w:rsidRDefault="009D7574" w:rsidP="009D7574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74"/>
    <w:rsid w:val="009D7574"/>
    <w:rsid w:val="00C578C8"/>
    <w:rsid w:val="00E26E7A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D7574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D757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2026-04-09T09:08:00Z</cp:lastPrinted>
  <dcterms:created xsi:type="dcterms:W3CDTF">2026-04-09T09:00:00Z</dcterms:created>
  <dcterms:modified xsi:type="dcterms:W3CDTF">2026-04-10T05:03:00Z</dcterms:modified>
</cp:coreProperties>
</file>